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val="0"/>
        <w:snapToGrid w:val="0"/>
        <w:spacing w:line="578" w:lineRule="exact"/>
        <w:jc w:val="center"/>
        <w:rPr>
          <w:rFonts w:ascii="方正小标宋简体" w:hAnsi="方正小标宋简体" w:eastAsia="方正小标宋简体" w:cs="方正小标宋简体"/>
          <w:bCs/>
          <w:kern w:val="2"/>
          <w:sz w:val="44"/>
          <w:szCs w:val="44"/>
        </w:rPr>
      </w:pPr>
      <w:r>
        <w:rPr>
          <w:rFonts w:hint="eastAsia" w:ascii="方正小标宋简体" w:hAnsi="方正小标宋简体" w:eastAsia="方正小标宋简体" w:cs="方正小标宋简体"/>
          <w:bCs/>
          <w:kern w:val="2"/>
          <w:sz w:val="44"/>
          <w:szCs w:val="44"/>
        </w:rPr>
        <w:t>京津冀三地消协组织电饭煲比较试验报告</w:t>
      </w:r>
    </w:p>
    <w:p>
      <w:pPr>
        <w:widowControl w:val="0"/>
        <w:spacing w:line="578" w:lineRule="exact"/>
        <w:contextualSpacing/>
        <w:jc w:val="both"/>
        <w:rPr>
          <w:rFonts w:ascii="仿宋_GB2312" w:hAnsi="楷体" w:eastAsia="仿宋_GB2312"/>
          <w:kern w:val="2"/>
          <w:sz w:val="32"/>
          <w:szCs w:val="32"/>
        </w:rPr>
      </w:pP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电饭煲（电饭锅）是将电能转变为热能的炊具，以蒸煮米饭为主要功能，可以对食物进行蒸、煮、炖、煨等多种加工，还能够保温，使用方便、清洁卫生。</w:t>
      </w:r>
      <w:r>
        <w:rPr>
          <w:rFonts w:hint="eastAsia" w:ascii="仿宋_GB2312" w:hAnsi="仿宋_GB2312" w:eastAsia="仿宋_GB2312" w:cs="仿宋_GB2312"/>
          <w:sz w:val="32"/>
          <w:szCs w:val="32"/>
        </w:rPr>
        <w:t>为了解电饭煲产品的性能、能效状况以及在使用和烹饪方面的优劣，更好地指导消费，京津冀三地消协组织对部分电饭煲产品开展了比较试验。</w:t>
      </w:r>
    </w:p>
    <w:p>
      <w:pPr>
        <w:pStyle w:val="57"/>
        <w:snapToGrid w:val="0"/>
        <w:spacing w:line="578" w:lineRule="exact"/>
        <w:ind w:firstLine="640"/>
        <w:contextualSpacing/>
        <w:rPr>
          <w:rFonts w:ascii="黑体" w:hAnsi="黑体" w:eastAsia="黑体" w:cs="仿宋_GB2312"/>
          <w:sz w:val="32"/>
          <w:szCs w:val="32"/>
        </w:rPr>
      </w:pPr>
      <w:r>
        <w:rPr>
          <w:rFonts w:hint="eastAsia" w:ascii="仿宋_GB2312" w:hAnsi="楷体" w:eastAsia="仿宋_GB2312"/>
          <w:sz w:val="32"/>
          <w:szCs w:val="32"/>
        </w:rPr>
        <w:drawing>
          <wp:anchor distT="0" distB="0" distL="114300" distR="114300" simplePos="0" relativeHeight="1024" behindDoc="0" locked="0" layoutInCell="1" allowOverlap="1">
            <wp:simplePos x="0" y="0"/>
            <wp:positionH relativeFrom="column">
              <wp:posOffset>-132080</wp:posOffset>
            </wp:positionH>
            <wp:positionV relativeFrom="paragraph">
              <wp:posOffset>432435</wp:posOffset>
            </wp:positionV>
            <wp:extent cx="5788660" cy="4892040"/>
            <wp:effectExtent l="0" t="0" r="2540" b="3810"/>
            <wp:wrapSquare wrapText="bothSides"/>
            <wp:docPr id="1026" name="图片 25" descr="/home/scjgj/Desktop/待办/电饭煲比较试验-图文版本11.19（待确认）/图片1-改meling.png图片1-改meling"/>
            <wp:cNvGraphicFramePr/>
            <a:graphic xmlns:a="http://schemas.openxmlformats.org/drawingml/2006/main">
              <a:graphicData uri="http://schemas.openxmlformats.org/drawingml/2006/picture">
                <pic:pic xmlns:pic="http://schemas.openxmlformats.org/drawingml/2006/picture">
                  <pic:nvPicPr>
                    <pic:cNvPr id="1026" name="图片 25" descr="/home/scjgj/Desktop/待办/电饭煲比较试验-图文版本11.19（待确认）/图片1-改meling.png图片1-改meling"/>
                    <pic:cNvPicPr/>
                  </pic:nvPicPr>
                  <pic:blipFill>
                    <a:blip r:embed="rId7" cstate="print"/>
                    <a:srcRect l="14" r="14"/>
                    <a:stretch>
                      <a:fillRect/>
                    </a:stretch>
                  </pic:blipFill>
                  <pic:spPr>
                    <a:xfrm>
                      <a:off x="0" y="0"/>
                      <a:ext cx="5788660" cy="4892040"/>
                    </a:xfrm>
                    <a:prstGeom prst="rect">
                      <a:avLst/>
                    </a:prstGeom>
                  </pic:spPr>
                </pic:pic>
              </a:graphicData>
            </a:graphic>
          </wp:anchor>
        </w:drawing>
      </w:r>
      <w:r>
        <w:rPr>
          <w:rFonts w:hint="eastAsia" w:ascii="黑体" w:hAnsi="黑体" w:eastAsia="黑体" w:cs="仿宋_GB2312"/>
          <w:sz w:val="32"/>
          <w:szCs w:val="32"/>
        </w:rPr>
        <w:t>一、比较试验样品情况</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比较试验样品由</w:t>
      </w:r>
      <w:r>
        <w:rPr>
          <w:rFonts w:hint="eastAsia" w:ascii="仿宋_GB2312" w:hAnsi="仿宋_GB2312" w:eastAsia="仿宋_GB2312" w:cs="仿宋_GB2312"/>
          <w:sz w:val="32"/>
          <w:szCs w:val="32"/>
        </w:rPr>
        <w:t>京津冀三地消协组织的</w:t>
      </w:r>
      <w:r>
        <w:rPr>
          <w:rFonts w:hint="eastAsia" w:ascii="仿宋_GB2312" w:hAnsi="楷体" w:eastAsia="仿宋_GB2312"/>
          <w:kern w:val="2"/>
          <w:sz w:val="32"/>
          <w:szCs w:val="32"/>
        </w:rPr>
        <w:t>工作人员以普通消费者的身份从电商平台购买，包括</w:t>
      </w:r>
      <w:r>
        <w:rPr>
          <w:rFonts w:ascii="仿宋_GB2312" w:hAnsi="楷体" w:eastAsia="仿宋_GB2312"/>
          <w:kern w:val="2"/>
          <w:sz w:val="32"/>
          <w:szCs w:val="32"/>
        </w:rPr>
        <w:t>16</w:t>
      </w:r>
      <w:r>
        <w:rPr>
          <w:rFonts w:hint="eastAsia" w:ascii="仿宋_GB2312" w:hAnsi="楷体" w:eastAsia="仿宋_GB2312"/>
          <w:kern w:val="2"/>
          <w:sz w:val="32"/>
          <w:szCs w:val="32"/>
        </w:rPr>
        <w:t>台明示额定容积3L＜V＜6L、额定功率在6</w:t>
      </w:r>
      <w:r>
        <w:rPr>
          <w:rFonts w:ascii="仿宋_GB2312" w:hAnsi="楷体" w:eastAsia="仿宋_GB2312"/>
          <w:kern w:val="2"/>
          <w:sz w:val="32"/>
          <w:szCs w:val="32"/>
        </w:rPr>
        <w:t>00W</w:t>
      </w:r>
      <w:r>
        <w:rPr>
          <w:rFonts w:hint="eastAsia" w:ascii="仿宋_GB2312" w:hAnsi="楷体" w:eastAsia="仿宋_GB2312"/>
          <w:kern w:val="2"/>
          <w:sz w:val="32"/>
          <w:szCs w:val="32"/>
        </w:rPr>
        <w:t>＜P≤</w:t>
      </w:r>
      <w:r>
        <w:rPr>
          <w:rFonts w:ascii="仿宋_GB2312" w:hAnsi="楷体" w:eastAsia="仿宋_GB2312"/>
          <w:kern w:val="2"/>
          <w:sz w:val="32"/>
          <w:szCs w:val="32"/>
        </w:rPr>
        <w:t>1000W</w:t>
      </w:r>
      <w:r>
        <w:rPr>
          <w:rFonts w:hint="eastAsia" w:ascii="仿宋_GB2312" w:hAnsi="楷体" w:eastAsia="仿宋_GB2312"/>
          <w:kern w:val="2"/>
          <w:sz w:val="32"/>
          <w:szCs w:val="32"/>
        </w:rPr>
        <w:t>范围内，内锅材质为金属且带有涂层的产品，涉及</w:t>
      </w:r>
      <w:r>
        <w:rPr>
          <w:rFonts w:ascii="仿宋_GB2312" w:hAnsi="楷体" w:eastAsia="仿宋_GB2312"/>
          <w:kern w:val="2"/>
          <w:sz w:val="32"/>
          <w:szCs w:val="32"/>
        </w:rPr>
        <w:t>16</w:t>
      </w:r>
      <w:r>
        <w:rPr>
          <w:rFonts w:hint="eastAsia" w:ascii="仿宋_GB2312" w:hAnsi="楷体" w:eastAsia="仿宋_GB2312"/>
          <w:kern w:val="2"/>
          <w:sz w:val="32"/>
          <w:szCs w:val="32"/>
        </w:rPr>
        <w:t>个品牌，购买价格从</w:t>
      </w:r>
      <w:r>
        <w:rPr>
          <w:rFonts w:ascii="仿宋_GB2312" w:hAnsi="楷体" w:eastAsia="仿宋_GB2312"/>
          <w:kern w:val="2"/>
          <w:sz w:val="32"/>
          <w:szCs w:val="32"/>
        </w:rPr>
        <w:t>277</w:t>
      </w:r>
      <w:r>
        <w:rPr>
          <w:rFonts w:hint="eastAsia" w:ascii="仿宋_GB2312" w:hAnsi="楷体" w:eastAsia="仿宋_GB2312"/>
          <w:kern w:val="2"/>
          <w:sz w:val="32"/>
          <w:szCs w:val="32"/>
        </w:rPr>
        <w:t>元/台到</w:t>
      </w:r>
      <w:r>
        <w:rPr>
          <w:rFonts w:ascii="仿宋_GB2312" w:hAnsi="楷体" w:eastAsia="仿宋_GB2312"/>
          <w:kern w:val="2"/>
          <w:sz w:val="32"/>
          <w:szCs w:val="32"/>
        </w:rPr>
        <w:t>1589</w:t>
      </w:r>
      <w:r>
        <w:rPr>
          <w:rFonts w:hint="eastAsia" w:ascii="仿宋_GB2312" w:hAnsi="楷体" w:eastAsia="仿宋_GB2312"/>
          <w:kern w:val="2"/>
          <w:sz w:val="32"/>
          <w:szCs w:val="32"/>
        </w:rPr>
        <w:t>元/台。</w:t>
      </w:r>
    </w:p>
    <w:p>
      <w:pPr>
        <w:pStyle w:val="57"/>
        <w:snapToGrid w:val="0"/>
        <w:spacing w:line="578" w:lineRule="exact"/>
        <w:ind w:firstLine="640"/>
        <w:contextualSpacing/>
        <w:rPr>
          <w:rFonts w:ascii="黑体" w:hAnsi="黑体" w:eastAsia="黑体" w:cs="仿宋_GB2312"/>
          <w:sz w:val="32"/>
          <w:szCs w:val="32"/>
        </w:rPr>
      </w:pPr>
      <w:r>
        <w:rPr>
          <w:rFonts w:hint="eastAsia" w:ascii="黑体" w:hAnsi="黑体" w:eastAsia="黑体" w:cs="仿宋_GB2312"/>
          <w:sz w:val="32"/>
          <w:szCs w:val="32"/>
        </w:rPr>
        <w:t>二、比较试验测试项目</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本次比较试验委托中家院（北京）检测认证有限公司对电饭煲样品的热效率值、保温能耗、待机功率、保温温度、煮米饭不粘性、膨胀率、水分偏差、含水率、还原糖、糊化度、质构、香气（挥发性香味）、呈甜味氨基酸、蛋白质保留率、咀嚼性、上盖易清洁性、操作便捷性项目进行了测试。比较试验结果仅对购买的样品负责。</w:t>
      </w:r>
    </w:p>
    <w:p>
      <w:pPr>
        <w:pStyle w:val="57"/>
        <w:snapToGrid w:val="0"/>
        <w:spacing w:line="578" w:lineRule="exact"/>
        <w:ind w:firstLine="640"/>
        <w:contextualSpacing/>
        <w:rPr>
          <w:rFonts w:ascii="黑体" w:hAnsi="黑体" w:eastAsia="黑体" w:cs="仿宋_GB2312"/>
          <w:sz w:val="32"/>
          <w:szCs w:val="32"/>
        </w:rPr>
      </w:pPr>
      <w:r>
        <w:rPr>
          <w:rFonts w:hint="eastAsia" w:ascii="黑体" w:hAnsi="黑体" w:eastAsia="黑体" w:cs="仿宋_GB2312"/>
          <w:sz w:val="32"/>
          <w:szCs w:val="32"/>
        </w:rPr>
        <w:t>三、比较试验结果</w:t>
      </w:r>
    </w:p>
    <w:p>
      <w:pPr>
        <w:snapToGrid w:val="0"/>
        <w:spacing w:line="578" w:lineRule="exact"/>
        <w:ind w:firstLine="640" w:firstLineChars="200"/>
        <w:jc w:val="both"/>
        <w:rPr>
          <w:rFonts w:ascii="楷体_GB2312" w:hAnsi="楷体_GB2312" w:eastAsia="楷体_GB2312" w:cs="楷体_GB2312"/>
          <w:bCs/>
          <w:kern w:val="2"/>
          <w:sz w:val="32"/>
          <w:szCs w:val="32"/>
        </w:rPr>
      </w:pPr>
      <w:r>
        <w:rPr>
          <w:rFonts w:hint="eastAsia" w:ascii="楷体_GB2312" w:hAnsi="楷体_GB2312" w:eastAsia="楷体_GB2312" w:cs="楷体_GB2312"/>
          <w:sz w:val="32"/>
          <w:szCs w:val="32"/>
        </w:rPr>
        <w:t>（一）热效率值</w:t>
      </w:r>
    </w:p>
    <w:p>
      <w:pPr>
        <w:widowControl w:val="0"/>
        <w:snapToGrid w:val="0"/>
        <w:spacing w:line="240" w:lineRule="auto"/>
        <w:ind w:firstLine="640" w:firstLineChars="200"/>
        <w:contextualSpacing/>
        <w:jc w:val="center"/>
        <w:rPr>
          <w:rFonts w:hint="eastAsia" w:ascii="仿宋_GB2312" w:hAnsi="楷体" w:eastAsia="仿宋_GB2312"/>
          <w:kern w:val="2"/>
          <w:sz w:val="32"/>
          <w:szCs w:val="32"/>
          <w:lang w:eastAsia="zh-CN"/>
        </w:rPr>
      </w:pPr>
      <w:r>
        <w:rPr>
          <w:rFonts w:hint="eastAsia" w:ascii="仿宋_GB2312" w:hAnsi="楷体" w:eastAsia="仿宋_GB2312"/>
          <w:kern w:val="2"/>
          <w:sz w:val="32"/>
          <w:szCs w:val="32"/>
          <w:lang w:eastAsia="zh-CN"/>
        </w:rPr>
        <w:drawing>
          <wp:inline distT="0" distB="0" distL="0" distR="0">
            <wp:extent cx="4000500" cy="1447800"/>
            <wp:effectExtent l="0" t="0" r="0" b="0"/>
            <wp:docPr id="1027" name="图片 12" descr="图片1"/>
            <wp:cNvGraphicFramePr/>
            <a:graphic xmlns:a="http://schemas.openxmlformats.org/drawingml/2006/main">
              <a:graphicData uri="http://schemas.openxmlformats.org/drawingml/2006/picture">
                <pic:pic xmlns:pic="http://schemas.openxmlformats.org/drawingml/2006/picture">
                  <pic:nvPicPr>
                    <pic:cNvPr id="1027" name="图片 12" descr="图片1"/>
                    <pic:cNvPicPr/>
                  </pic:nvPicPr>
                  <pic:blipFill>
                    <a:blip r:embed="rId8" cstate="print"/>
                    <a:srcRect/>
                    <a:stretch>
                      <a:fillRect/>
                    </a:stretch>
                  </pic:blipFill>
                  <pic:spPr>
                    <a:xfrm>
                      <a:off x="0" y="0"/>
                      <a:ext cx="4000500" cy="1447800"/>
                    </a:xfrm>
                    <a:prstGeom prst="rect">
                      <a:avLst/>
                    </a:prstGeom>
                  </pic:spPr>
                </pic:pic>
              </a:graphicData>
            </a:graphic>
          </wp:inline>
        </w:drawing>
      </w:r>
    </w:p>
    <w:p>
      <w:pPr>
        <w:widowControl w:val="0"/>
        <w:snapToGrid w:val="0"/>
        <w:spacing w:line="578" w:lineRule="exact"/>
        <w:ind w:firstLine="640" w:firstLineChars="200"/>
        <w:contextualSpacing/>
        <w:jc w:val="both"/>
        <w:rPr>
          <w:rFonts w:hint="eastAsia" w:ascii="仿宋_GB2312" w:hAnsi="楷体" w:eastAsia="仿宋_GB2312"/>
          <w:kern w:val="2"/>
          <w:sz w:val="32"/>
          <w:szCs w:val="32"/>
        </w:rPr>
      </w:pPr>
      <w:r>
        <w:rPr>
          <w:rFonts w:hint="eastAsia" w:ascii="仿宋_GB2312" w:hAnsi="楷体" w:eastAsia="仿宋_GB2312"/>
          <w:kern w:val="2"/>
          <w:sz w:val="32"/>
          <w:szCs w:val="32"/>
        </w:rPr>
        <w:t>在6</w:t>
      </w:r>
      <w:r>
        <w:rPr>
          <w:rFonts w:ascii="仿宋_GB2312" w:hAnsi="楷体" w:eastAsia="仿宋_GB2312"/>
          <w:kern w:val="2"/>
          <w:sz w:val="32"/>
          <w:szCs w:val="32"/>
        </w:rPr>
        <w:t>00W</w:t>
      </w:r>
      <w:r>
        <w:rPr>
          <w:rFonts w:hint="eastAsia" w:ascii="仿宋_GB2312" w:hAnsi="楷体" w:eastAsia="仿宋_GB2312"/>
          <w:kern w:val="2"/>
          <w:sz w:val="32"/>
          <w:szCs w:val="32"/>
        </w:rPr>
        <w:t>到1</w:t>
      </w:r>
      <w:r>
        <w:rPr>
          <w:rFonts w:ascii="仿宋_GB2312" w:hAnsi="楷体" w:eastAsia="仿宋_GB2312"/>
          <w:kern w:val="2"/>
          <w:sz w:val="32"/>
          <w:szCs w:val="32"/>
        </w:rPr>
        <w:t>000W</w:t>
      </w:r>
      <w:r>
        <w:rPr>
          <w:rFonts w:hint="eastAsia" w:ascii="仿宋_GB2312" w:hAnsi="楷体" w:eastAsia="仿宋_GB2312"/>
          <w:kern w:val="2"/>
          <w:sz w:val="32"/>
          <w:szCs w:val="32"/>
        </w:rPr>
        <w:t>的功率范围内，1级对应热效率值为8</w:t>
      </w:r>
      <w:r>
        <w:rPr>
          <w:rFonts w:ascii="仿宋_GB2312" w:hAnsi="楷体" w:eastAsia="仿宋_GB2312"/>
          <w:kern w:val="2"/>
          <w:sz w:val="32"/>
          <w:szCs w:val="32"/>
        </w:rPr>
        <w:t>9</w:t>
      </w:r>
      <w:r>
        <w:rPr>
          <w:rFonts w:hint="eastAsia" w:ascii="仿宋_GB2312" w:hAnsi="楷体" w:eastAsia="仿宋_GB2312"/>
          <w:kern w:val="2"/>
          <w:sz w:val="32"/>
          <w:szCs w:val="32"/>
        </w:rPr>
        <w:t>%，</w:t>
      </w:r>
      <w:r>
        <w:rPr>
          <w:rFonts w:ascii="仿宋_GB2312" w:hAnsi="楷体" w:eastAsia="仿宋_GB2312"/>
          <w:kern w:val="2"/>
          <w:sz w:val="32"/>
          <w:szCs w:val="32"/>
        </w:rPr>
        <w:t>2</w:t>
      </w:r>
      <w:r>
        <w:rPr>
          <w:rFonts w:hint="eastAsia" w:ascii="仿宋_GB2312" w:hAnsi="楷体" w:eastAsia="仿宋_GB2312"/>
          <w:kern w:val="2"/>
          <w:sz w:val="32"/>
          <w:szCs w:val="32"/>
        </w:rPr>
        <w:t>级对应热效率值为8</w:t>
      </w:r>
      <w:r>
        <w:rPr>
          <w:rFonts w:ascii="仿宋_GB2312" w:hAnsi="楷体" w:eastAsia="仿宋_GB2312"/>
          <w:kern w:val="2"/>
          <w:sz w:val="32"/>
          <w:szCs w:val="32"/>
        </w:rPr>
        <w:t>3</w:t>
      </w:r>
      <w:r>
        <w:rPr>
          <w:rFonts w:hint="eastAsia" w:ascii="仿宋_GB2312" w:hAnsi="楷体" w:eastAsia="仿宋_GB2312"/>
          <w:kern w:val="2"/>
          <w:sz w:val="32"/>
          <w:szCs w:val="32"/>
        </w:rPr>
        <w:t>%，</w:t>
      </w:r>
      <w:r>
        <w:rPr>
          <w:rFonts w:ascii="仿宋_GB2312" w:hAnsi="楷体" w:eastAsia="仿宋_GB2312"/>
          <w:kern w:val="2"/>
          <w:sz w:val="32"/>
          <w:szCs w:val="32"/>
        </w:rPr>
        <w:t>3</w:t>
      </w:r>
      <w:r>
        <w:rPr>
          <w:rFonts w:hint="eastAsia" w:ascii="仿宋_GB2312" w:hAnsi="楷体" w:eastAsia="仿宋_GB2312"/>
          <w:kern w:val="2"/>
          <w:sz w:val="32"/>
          <w:szCs w:val="32"/>
        </w:rPr>
        <w:t>级对应热效率值为</w:t>
      </w:r>
      <w:r>
        <w:rPr>
          <w:rFonts w:ascii="仿宋_GB2312" w:hAnsi="楷体" w:eastAsia="仿宋_GB2312"/>
          <w:kern w:val="2"/>
          <w:sz w:val="32"/>
          <w:szCs w:val="32"/>
        </w:rPr>
        <w:t>78</w:t>
      </w:r>
      <w:r>
        <w:rPr>
          <w:rFonts w:hint="eastAsia" w:ascii="仿宋_GB2312" w:hAnsi="楷体" w:eastAsia="仿宋_GB2312"/>
          <w:kern w:val="2"/>
          <w:sz w:val="32"/>
          <w:szCs w:val="32"/>
        </w:rPr>
        <w:t>%，</w:t>
      </w:r>
      <w:r>
        <w:rPr>
          <w:rFonts w:ascii="仿宋_GB2312" w:hAnsi="楷体" w:eastAsia="仿宋_GB2312"/>
          <w:kern w:val="2"/>
          <w:sz w:val="32"/>
          <w:szCs w:val="32"/>
        </w:rPr>
        <w:t>4</w:t>
      </w:r>
      <w:r>
        <w:rPr>
          <w:rFonts w:hint="eastAsia" w:ascii="仿宋_GB2312" w:hAnsi="楷体" w:eastAsia="仿宋_GB2312"/>
          <w:kern w:val="2"/>
          <w:sz w:val="32"/>
          <w:szCs w:val="32"/>
        </w:rPr>
        <w:t>级对应热效率值为</w:t>
      </w:r>
      <w:r>
        <w:rPr>
          <w:rFonts w:ascii="仿宋_GB2312" w:hAnsi="楷体" w:eastAsia="仿宋_GB2312"/>
          <w:kern w:val="2"/>
          <w:sz w:val="32"/>
          <w:szCs w:val="32"/>
        </w:rPr>
        <w:t>76</w:t>
      </w:r>
      <w:r>
        <w:rPr>
          <w:rFonts w:hint="eastAsia" w:ascii="仿宋_GB2312" w:hAnsi="楷体" w:eastAsia="仿宋_GB2312"/>
          <w:kern w:val="2"/>
          <w:sz w:val="32"/>
          <w:szCs w:val="32"/>
        </w:rPr>
        <w:t>%，</w:t>
      </w:r>
      <w:r>
        <w:rPr>
          <w:rFonts w:ascii="仿宋_GB2312" w:hAnsi="楷体" w:eastAsia="仿宋_GB2312"/>
          <w:kern w:val="2"/>
          <w:sz w:val="32"/>
          <w:szCs w:val="32"/>
        </w:rPr>
        <w:t>5</w:t>
      </w:r>
      <w:r>
        <w:rPr>
          <w:rFonts w:hint="eastAsia" w:ascii="仿宋_GB2312" w:hAnsi="楷体" w:eastAsia="仿宋_GB2312"/>
          <w:kern w:val="2"/>
          <w:sz w:val="32"/>
          <w:szCs w:val="32"/>
        </w:rPr>
        <w:t>级对应热效率值为</w:t>
      </w:r>
      <w:r>
        <w:rPr>
          <w:rFonts w:ascii="仿宋_GB2312" w:hAnsi="楷体" w:eastAsia="仿宋_GB2312"/>
          <w:kern w:val="2"/>
          <w:sz w:val="32"/>
          <w:szCs w:val="32"/>
        </w:rPr>
        <w:t>73</w:t>
      </w:r>
      <w:r>
        <w:rPr>
          <w:rFonts w:hint="eastAsia" w:ascii="仿宋_GB2312" w:hAnsi="楷体" w:eastAsia="仿宋_GB2312"/>
          <w:kern w:val="2"/>
          <w:sz w:val="32"/>
          <w:szCs w:val="32"/>
        </w:rPr>
        <w:t>%。</w:t>
      </w:r>
    </w:p>
    <w:p>
      <w:pPr>
        <w:widowControl w:val="0"/>
        <w:snapToGrid w:val="0"/>
        <w:spacing w:line="578" w:lineRule="exact"/>
        <w:ind w:firstLine="640" w:firstLineChars="200"/>
        <w:contextualSpacing/>
        <w:jc w:val="both"/>
        <w:rPr>
          <w:rFonts w:hint="eastAsia" w:ascii="仿宋_GB2312" w:hAnsi="楷体" w:eastAsia="仿宋_GB2312"/>
          <w:kern w:val="2"/>
          <w:sz w:val="32"/>
          <w:szCs w:val="32"/>
        </w:rPr>
      </w:pPr>
    </w:p>
    <w:p>
      <w:pPr>
        <w:widowControl w:val="0"/>
        <w:snapToGrid w:val="0"/>
        <w:spacing w:line="578" w:lineRule="exact"/>
        <w:contextualSpacing/>
        <w:jc w:val="center"/>
        <w:rPr>
          <w:rFonts w:ascii="仿宋_GB2312" w:hAnsi="楷体" w:eastAsia="仿宋_GB2312"/>
          <w:kern w:val="2"/>
          <w:sz w:val="32"/>
          <w:szCs w:val="32"/>
        </w:rPr>
      </w:pPr>
      <w:r>
        <w:rPr>
          <w:rFonts w:hint="eastAsia" w:ascii="黑体" w:hAnsi="黑体" w:eastAsia="黑体" w:cs="仿宋_GB2312"/>
          <w:kern w:val="2"/>
        </w:rPr>
        <w:t>电饭煲热效率值能效等级标准</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967"/>
        <w:gridCol w:w="658"/>
        <w:gridCol w:w="658"/>
        <w:gridCol w:w="658"/>
        <w:gridCol w:w="658"/>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510" w:type="dxa"/>
            <w:gridSpan w:val="2"/>
            <w:tcBorders>
              <w:top w:val="single" w:color="FFFFFF" w:sz="4" w:space="0"/>
              <w:left w:val="single" w:color="FFFFFF" w:sz="4" w:space="0"/>
              <w:bottom w:val="single" w:color="FFFFFF" w:sz="4" w:space="0"/>
              <w:right w:val="single" w:color="FFFFFF" w:sz="4" w:space="0"/>
              <w:tl2br w:val="nil"/>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spacing w:val="20"/>
                <w:kern w:val="2"/>
              </w:rPr>
              <w:t>能效等级</w:t>
            </w:r>
          </w:p>
        </w:tc>
        <w:tc>
          <w:tcPr>
            <w:tcW w:w="65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1级</w:t>
            </w:r>
          </w:p>
        </w:tc>
        <w:tc>
          <w:tcPr>
            <w:tcW w:w="65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2级</w:t>
            </w:r>
          </w:p>
        </w:tc>
        <w:tc>
          <w:tcPr>
            <w:tcW w:w="65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3级</w:t>
            </w:r>
          </w:p>
        </w:tc>
        <w:tc>
          <w:tcPr>
            <w:tcW w:w="65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4级</w:t>
            </w:r>
          </w:p>
        </w:tc>
        <w:tc>
          <w:tcPr>
            <w:tcW w:w="661"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热效率值(%)</w:t>
            </w:r>
          </w:p>
        </w:tc>
        <w:tc>
          <w:tcPr>
            <w:tcW w:w="1967"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600W＜P≤1000W</w:t>
            </w:r>
          </w:p>
        </w:tc>
        <w:tc>
          <w:tcPr>
            <w:tcW w:w="658"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spacing w:val="20"/>
                <w:kern w:val="2"/>
              </w:rPr>
            </w:pPr>
            <w:r>
              <w:rPr>
                <w:rFonts w:hint="eastAsia" w:ascii="黑体" w:hAnsi="黑体" w:eastAsia="黑体" w:cs="黑体"/>
                <w:color w:val="1F4E79"/>
                <w:spacing w:val="20"/>
                <w:kern w:val="2"/>
              </w:rPr>
              <w:t>89</w:t>
            </w:r>
          </w:p>
        </w:tc>
        <w:tc>
          <w:tcPr>
            <w:tcW w:w="658"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spacing w:val="20"/>
                <w:kern w:val="2"/>
              </w:rPr>
            </w:pPr>
            <w:r>
              <w:rPr>
                <w:rFonts w:hint="eastAsia" w:ascii="黑体" w:hAnsi="黑体" w:eastAsia="黑体" w:cs="黑体"/>
                <w:color w:val="1F4E79"/>
                <w:spacing w:val="20"/>
                <w:kern w:val="2"/>
              </w:rPr>
              <w:t>83</w:t>
            </w:r>
          </w:p>
        </w:tc>
        <w:tc>
          <w:tcPr>
            <w:tcW w:w="658"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spacing w:val="20"/>
                <w:kern w:val="2"/>
              </w:rPr>
            </w:pPr>
            <w:r>
              <w:rPr>
                <w:rFonts w:hint="eastAsia" w:ascii="黑体" w:hAnsi="黑体" w:eastAsia="黑体" w:cs="黑体"/>
                <w:color w:val="1F4E79"/>
                <w:spacing w:val="20"/>
                <w:kern w:val="2"/>
              </w:rPr>
              <w:t>78</w:t>
            </w:r>
          </w:p>
        </w:tc>
        <w:tc>
          <w:tcPr>
            <w:tcW w:w="658"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spacing w:val="20"/>
                <w:kern w:val="2"/>
              </w:rPr>
            </w:pPr>
            <w:r>
              <w:rPr>
                <w:rFonts w:hint="eastAsia" w:ascii="黑体" w:hAnsi="黑体" w:eastAsia="黑体" w:cs="黑体"/>
                <w:color w:val="1F4E79"/>
                <w:spacing w:val="20"/>
                <w:kern w:val="2"/>
              </w:rPr>
              <w:t>76</w:t>
            </w:r>
          </w:p>
        </w:tc>
        <w:tc>
          <w:tcPr>
            <w:tcW w:w="661"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spacing w:val="20"/>
                <w:kern w:val="2"/>
              </w:rPr>
            </w:pPr>
            <w:r>
              <w:rPr>
                <w:rFonts w:hint="eastAsia" w:ascii="黑体" w:hAnsi="黑体" w:eastAsia="黑体" w:cs="黑体"/>
                <w:color w:val="1F4E79"/>
                <w:spacing w:val="20"/>
                <w:kern w:val="2"/>
              </w:rPr>
              <w:t>73</w:t>
            </w:r>
          </w:p>
        </w:tc>
      </w:tr>
    </w:tbl>
    <w:p>
      <w:pPr>
        <w:widowControl w:val="0"/>
        <w:snapToGrid w:val="0"/>
        <w:spacing w:line="578" w:lineRule="exact"/>
        <w:ind w:firstLine="640" w:firstLineChars="200"/>
        <w:contextualSpacing/>
        <w:jc w:val="both"/>
        <w:rPr>
          <w:rFonts w:ascii="黑体" w:hAnsi="黑体" w:eastAsia="黑体" w:cs="仿宋_GB2312"/>
          <w:kern w:val="2"/>
          <w:sz w:val="28"/>
          <w:szCs w:val="28"/>
          <w:highlight w:val="yellow"/>
        </w:rPr>
      </w:pPr>
      <w:r>
        <w:rPr>
          <w:rFonts w:hint="eastAsia" w:ascii="仿宋_GB2312" w:hAnsi="楷体" w:eastAsia="仿宋_GB2312"/>
          <w:kern w:val="2"/>
          <w:sz w:val="32"/>
          <w:szCs w:val="32"/>
        </w:rPr>
        <w:t>本次对购买的</w:t>
      </w:r>
      <w:r>
        <w:rPr>
          <w:rFonts w:ascii="仿宋_GB2312" w:hAnsi="楷体" w:eastAsia="仿宋_GB2312"/>
          <w:kern w:val="2"/>
          <w:sz w:val="32"/>
          <w:szCs w:val="32"/>
        </w:rPr>
        <w:t>16</w:t>
      </w:r>
      <w:r>
        <w:rPr>
          <w:rFonts w:hint="eastAsia" w:ascii="仿宋_GB2312" w:hAnsi="楷体" w:eastAsia="仿宋_GB2312"/>
          <w:kern w:val="2"/>
          <w:sz w:val="32"/>
          <w:szCs w:val="32"/>
        </w:rPr>
        <w:t>台电饭煲样品进行检验，有1</w:t>
      </w:r>
      <w:r>
        <w:rPr>
          <w:rFonts w:ascii="仿宋_GB2312" w:hAnsi="楷体" w:eastAsia="仿宋_GB2312"/>
          <w:kern w:val="2"/>
          <w:sz w:val="32"/>
          <w:szCs w:val="32"/>
        </w:rPr>
        <w:t>3</w:t>
      </w:r>
      <w:r>
        <w:rPr>
          <w:rFonts w:hint="eastAsia" w:ascii="仿宋_GB2312" w:hAnsi="楷体" w:eastAsia="仿宋_GB2312"/>
          <w:kern w:val="2"/>
          <w:sz w:val="32"/>
          <w:szCs w:val="32"/>
        </w:rPr>
        <w:t>台电饭煲的热效率值测试结果大于8</w:t>
      </w:r>
      <w:r>
        <w:rPr>
          <w:rFonts w:ascii="仿宋_GB2312" w:hAnsi="楷体" w:eastAsia="仿宋_GB2312"/>
          <w:kern w:val="2"/>
          <w:sz w:val="32"/>
          <w:szCs w:val="32"/>
        </w:rPr>
        <w:t>3</w:t>
      </w:r>
      <w:r>
        <w:rPr>
          <w:rFonts w:hint="eastAsia" w:ascii="仿宋_GB2312" w:hAnsi="楷体" w:eastAsia="仿宋_GB2312"/>
          <w:kern w:val="2"/>
          <w:sz w:val="32"/>
          <w:szCs w:val="32"/>
        </w:rPr>
        <w:t>%，满足能效等级中的2级要求；另外3台电饭煲的热效率值测试结果大于</w:t>
      </w:r>
      <w:r>
        <w:rPr>
          <w:rFonts w:ascii="仿宋_GB2312" w:hAnsi="楷体" w:eastAsia="仿宋_GB2312"/>
          <w:kern w:val="2"/>
          <w:sz w:val="32"/>
          <w:szCs w:val="32"/>
        </w:rPr>
        <w:t>78</w:t>
      </w:r>
      <w:r>
        <w:rPr>
          <w:rFonts w:hint="eastAsia" w:ascii="仿宋_GB2312" w:hAnsi="楷体" w:eastAsia="仿宋_GB2312"/>
          <w:kern w:val="2"/>
          <w:sz w:val="32"/>
          <w:szCs w:val="32"/>
        </w:rPr>
        <w:t>%，满足能效等级中的3级要求。从产品的明示能效等级来看，本次1</w:t>
      </w:r>
      <w:r>
        <w:rPr>
          <w:rFonts w:ascii="仿宋_GB2312" w:hAnsi="楷体" w:eastAsia="仿宋_GB2312"/>
          <w:kern w:val="2"/>
          <w:sz w:val="32"/>
          <w:szCs w:val="32"/>
        </w:rPr>
        <w:t>6</w:t>
      </w:r>
      <w:r>
        <w:rPr>
          <w:rFonts w:hint="eastAsia" w:ascii="仿宋_GB2312" w:hAnsi="楷体" w:eastAsia="仿宋_GB2312"/>
          <w:kern w:val="2"/>
          <w:sz w:val="32"/>
          <w:szCs w:val="32"/>
        </w:rPr>
        <w:t>台电饭煲中有</w:t>
      </w:r>
      <w:r>
        <w:rPr>
          <w:rFonts w:ascii="仿宋_GB2312" w:hAnsi="楷体" w:eastAsia="仿宋_GB2312"/>
          <w:kern w:val="2"/>
          <w:sz w:val="32"/>
          <w:szCs w:val="32"/>
        </w:rPr>
        <w:t>12</w:t>
      </w:r>
      <w:r>
        <w:rPr>
          <w:rFonts w:hint="eastAsia" w:ascii="仿宋_GB2312" w:hAnsi="楷体" w:eastAsia="仿宋_GB2312"/>
          <w:kern w:val="2"/>
          <w:sz w:val="32"/>
          <w:szCs w:val="32"/>
        </w:rPr>
        <w:t>台产品明示3级，其中</w:t>
      </w:r>
      <w:r>
        <w:rPr>
          <w:rFonts w:ascii="仿宋_GB2312" w:hAnsi="楷体" w:eastAsia="仿宋_GB2312"/>
          <w:kern w:val="2"/>
          <w:sz w:val="32"/>
          <w:szCs w:val="32"/>
        </w:rPr>
        <w:t>10</w:t>
      </w:r>
      <w:r>
        <w:rPr>
          <w:rFonts w:hint="eastAsia" w:ascii="仿宋_GB2312" w:hAnsi="楷体" w:eastAsia="仿宋_GB2312"/>
          <w:kern w:val="2"/>
          <w:sz w:val="32"/>
          <w:szCs w:val="32"/>
        </w:rPr>
        <w:t>台实测值达到了2级水平，另外2台实测值在3级；有1台产品明示4级，实测值达到了3级水平；有3台产品明示2级，实测值也在2级水平。</w:t>
      </w:r>
    </w:p>
    <w:p>
      <w:pPr>
        <w:widowControl w:val="0"/>
        <w:snapToGrid w:val="0"/>
        <w:spacing w:line="578" w:lineRule="exact"/>
        <w:ind w:firstLine="640" w:firstLineChars="200"/>
        <w:contextualSpacing/>
        <w:jc w:val="both"/>
        <w:rPr>
          <w:rFonts w:ascii="楷体_GB2312" w:hAnsi="楷体_GB2312" w:eastAsia="楷体_GB2312" w:cs="楷体_GB2312"/>
          <w:bCs/>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43815</wp:posOffset>
            </wp:positionH>
            <wp:positionV relativeFrom="paragraph">
              <wp:posOffset>44450</wp:posOffset>
            </wp:positionV>
            <wp:extent cx="5725160" cy="2927350"/>
            <wp:effectExtent l="0" t="0" r="8890" b="6350"/>
            <wp:wrapTopAndBottom/>
            <wp:docPr id="1028" name="图片 51" descr="/home/scjgj/Desktop/数据图片11.25/热效率.png热效率"/>
            <wp:cNvGraphicFramePr/>
            <a:graphic xmlns:a="http://schemas.openxmlformats.org/drawingml/2006/main">
              <a:graphicData uri="http://schemas.openxmlformats.org/drawingml/2006/picture">
                <pic:pic xmlns:pic="http://schemas.openxmlformats.org/drawingml/2006/picture">
                  <pic:nvPicPr>
                    <pic:cNvPr id="1028" name="图片 51" descr="/home/scjgj/Desktop/数据图片11.25/热效率.png热效率"/>
                    <pic:cNvPicPr/>
                  </pic:nvPicPr>
                  <pic:blipFill>
                    <a:blip r:embed="rId9" cstate="print"/>
                    <a:srcRect l="152" r="152"/>
                    <a:stretch>
                      <a:fillRect/>
                    </a:stretch>
                  </pic:blipFill>
                  <pic:spPr>
                    <a:xfrm>
                      <a:off x="0" y="0"/>
                      <a:ext cx="5725160" cy="2927350"/>
                    </a:xfrm>
                    <a:prstGeom prst="rect">
                      <a:avLst/>
                    </a:prstGeom>
                  </pic:spPr>
                </pic:pic>
              </a:graphicData>
            </a:graphic>
          </wp:anchor>
        </w:drawing>
      </w:r>
      <w:r>
        <w:rPr>
          <w:rFonts w:hint="eastAsia" w:ascii="楷体_GB2312" w:hAnsi="楷体_GB2312" w:eastAsia="楷体_GB2312" w:cs="楷体_GB2312"/>
          <w:bCs/>
          <w:kern w:val="2"/>
          <w:sz w:val="32"/>
          <w:szCs w:val="32"/>
        </w:rPr>
        <w:t>（二）保温能耗</w:t>
      </w:r>
    </w:p>
    <w:p>
      <w:pPr>
        <w:widowControl w:val="0"/>
        <w:snapToGrid w:val="0"/>
        <w:spacing w:line="240" w:lineRule="auto"/>
        <w:ind w:firstLine="640" w:firstLineChars="200"/>
        <w:contextualSpacing/>
        <w:jc w:val="center"/>
        <w:rPr>
          <w:rFonts w:hint="eastAsia" w:ascii="仿宋_GB2312" w:hAnsi="楷体" w:eastAsia="仿宋_GB2312"/>
          <w:kern w:val="2"/>
          <w:sz w:val="32"/>
          <w:szCs w:val="32"/>
          <w:lang w:eastAsia="zh-CN"/>
        </w:rPr>
      </w:pPr>
      <w:r>
        <w:rPr>
          <w:rFonts w:hint="eastAsia" w:ascii="仿宋_GB2312" w:hAnsi="楷体" w:eastAsia="仿宋_GB2312"/>
          <w:kern w:val="2"/>
          <w:sz w:val="32"/>
          <w:szCs w:val="32"/>
          <w:lang w:eastAsia="zh-CN"/>
        </w:rPr>
        <w:drawing>
          <wp:inline distT="0" distB="0" distL="0" distR="0">
            <wp:extent cx="4000500" cy="762000"/>
            <wp:effectExtent l="0" t="0" r="0" b="0"/>
            <wp:docPr id="1029" name="图片 11" descr="图片2"/>
            <wp:cNvGraphicFramePr/>
            <a:graphic xmlns:a="http://schemas.openxmlformats.org/drawingml/2006/main">
              <a:graphicData uri="http://schemas.openxmlformats.org/drawingml/2006/picture">
                <pic:pic xmlns:pic="http://schemas.openxmlformats.org/drawingml/2006/picture">
                  <pic:nvPicPr>
                    <pic:cNvPr id="1029" name="图片 11" descr="图片2"/>
                    <pic:cNvPicPr/>
                  </pic:nvPicPr>
                  <pic:blipFill>
                    <a:blip r:embed="rId10" cstate="print"/>
                    <a:srcRect/>
                    <a:stretch>
                      <a:fillRect/>
                    </a:stretch>
                  </pic:blipFill>
                  <pic:spPr>
                    <a:xfrm>
                      <a:off x="0" y="0"/>
                      <a:ext cx="4000500" cy="762000"/>
                    </a:xfrm>
                    <a:prstGeom prst="rect">
                      <a:avLst/>
                    </a:prstGeom>
                  </pic:spPr>
                </pic:pic>
              </a:graphicData>
            </a:graphic>
          </wp:inline>
        </w:drawing>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在6</w:t>
      </w:r>
      <w:r>
        <w:rPr>
          <w:rFonts w:ascii="仿宋_GB2312" w:hAnsi="楷体" w:eastAsia="仿宋_GB2312"/>
          <w:kern w:val="2"/>
          <w:sz w:val="32"/>
          <w:szCs w:val="32"/>
        </w:rPr>
        <w:t>00W</w:t>
      </w:r>
      <w:r>
        <w:rPr>
          <w:rFonts w:hint="eastAsia" w:ascii="仿宋_GB2312" w:hAnsi="楷体" w:eastAsia="仿宋_GB2312"/>
          <w:kern w:val="2"/>
          <w:sz w:val="32"/>
          <w:szCs w:val="32"/>
        </w:rPr>
        <w:t>到1</w:t>
      </w:r>
      <w:r>
        <w:rPr>
          <w:rFonts w:ascii="仿宋_GB2312" w:hAnsi="楷体" w:eastAsia="仿宋_GB2312"/>
          <w:kern w:val="2"/>
          <w:sz w:val="32"/>
          <w:szCs w:val="32"/>
        </w:rPr>
        <w:t>000W</w:t>
      </w:r>
      <w:r>
        <w:rPr>
          <w:rFonts w:hint="eastAsia" w:ascii="仿宋_GB2312" w:hAnsi="楷体" w:eastAsia="仿宋_GB2312"/>
          <w:kern w:val="2"/>
          <w:sz w:val="32"/>
          <w:szCs w:val="32"/>
        </w:rPr>
        <w:t>的功率范围内，</w:t>
      </w:r>
      <w:r>
        <w:rPr>
          <w:rFonts w:ascii="仿宋_GB2312" w:hAnsi="楷体" w:eastAsia="仿宋_GB2312"/>
          <w:kern w:val="2"/>
          <w:sz w:val="32"/>
          <w:szCs w:val="32"/>
        </w:rPr>
        <w:t>2</w:t>
      </w:r>
      <w:r>
        <w:rPr>
          <w:rFonts w:hint="eastAsia" w:ascii="仿宋_GB2312" w:hAnsi="楷体" w:eastAsia="仿宋_GB2312"/>
          <w:kern w:val="2"/>
          <w:sz w:val="32"/>
          <w:szCs w:val="32"/>
        </w:rPr>
        <w:t>级对应保温能耗为</w:t>
      </w:r>
      <w:r>
        <w:rPr>
          <w:rFonts w:ascii="仿宋_GB2312" w:hAnsi="楷体" w:eastAsia="仿宋_GB2312"/>
          <w:kern w:val="2"/>
          <w:sz w:val="32"/>
          <w:szCs w:val="32"/>
        </w:rPr>
        <w:t>33 W</w:t>
      </w:r>
      <w:r>
        <w:rPr>
          <w:rFonts w:hint="eastAsia" w:ascii="仿宋_GB2312" w:hAnsi="楷体" w:eastAsia="仿宋_GB2312"/>
          <w:kern w:val="2"/>
          <w:sz w:val="32"/>
          <w:szCs w:val="32"/>
        </w:rPr>
        <w:t>·h。本次测试中，1</w:t>
      </w:r>
      <w:r>
        <w:rPr>
          <w:rFonts w:ascii="仿宋_GB2312" w:hAnsi="楷体" w:eastAsia="仿宋_GB2312"/>
          <w:kern w:val="2"/>
          <w:sz w:val="32"/>
          <w:szCs w:val="32"/>
        </w:rPr>
        <w:t>6</w:t>
      </w:r>
      <w:r>
        <w:rPr>
          <w:rFonts w:hint="eastAsia" w:ascii="仿宋_GB2312" w:hAnsi="楷体" w:eastAsia="仿宋_GB2312"/>
          <w:kern w:val="2"/>
          <w:sz w:val="32"/>
          <w:szCs w:val="32"/>
        </w:rPr>
        <w:t>台电饭煲样品的保温能耗均小于3</w:t>
      </w:r>
      <w:r>
        <w:rPr>
          <w:rFonts w:ascii="仿宋_GB2312" w:hAnsi="楷体" w:eastAsia="仿宋_GB2312"/>
          <w:kern w:val="2"/>
          <w:sz w:val="32"/>
          <w:szCs w:val="32"/>
        </w:rPr>
        <w:t>3W</w:t>
      </w:r>
      <w:r>
        <w:rPr>
          <w:rFonts w:hint="eastAsia" w:ascii="仿宋_GB2312" w:hAnsi="楷体" w:eastAsia="仿宋_GB2312"/>
          <w:kern w:val="2"/>
          <w:sz w:val="32"/>
          <w:szCs w:val="32"/>
        </w:rPr>
        <w:t>·h，能够满足能效等级中的2级要求。</w:t>
      </w:r>
    </w:p>
    <w:p>
      <w:pPr>
        <w:widowControl w:val="0"/>
        <w:snapToGrid w:val="0"/>
        <w:spacing w:line="578" w:lineRule="exact"/>
        <w:contextualSpacing/>
        <w:jc w:val="center"/>
        <w:rPr>
          <w:rFonts w:ascii="仿宋_GB2312" w:hAnsi="楷体" w:eastAsia="仿宋_GB2312"/>
          <w:kern w:val="2"/>
          <w:sz w:val="32"/>
          <w:szCs w:val="32"/>
        </w:rPr>
      </w:pPr>
      <w:r>
        <w:rPr>
          <w:rFonts w:hint="eastAsia" w:ascii="黑体" w:hAnsi="黑体" w:eastAsia="黑体" w:cs="仿宋_GB2312"/>
          <w:kern w:val="2"/>
        </w:rPr>
        <w:t>电饭煲保温能耗能效等级标准</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825"/>
        <w:gridCol w:w="628"/>
        <w:gridCol w:w="628"/>
        <w:gridCol w:w="628"/>
        <w:gridCol w:w="628"/>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662" w:type="dxa"/>
            <w:gridSpan w:val="2"/>
            <w:tcBorders>
              <w:top w:val="single" w:color="FFFFFF" w:sz="4" w:space="0"/>
              <w:left w:val="single" w:color="FFFFFF" w:sz="4" w:space="0"/>
              <w:bottom w:val="single" w:color="FFFFFF" w:sz="4" w:space="0"/>
              <w:right w:val="single" w:color="FFFFFF" w:sz="4" w:space="0"/>
              <w:tl2br w:val="nil"/>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spacing w:val="20"/>
                <w:kern w:val="2"/>
              </w:rPr>
              <w:t>能效等级</w:t>
            </w:r>
          </w:p>
        </w:tc>
        <w:tc>
          <w:tcPr>
            <w:tcW w:w="62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1级</w:t>
            </w:r>
          </w:p>
        </w:tc>
        <w:tc>
          <w:tcPr>
            <w:tcW w:w="62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2级</w:t>
            </w:r>
          </w:p>
        </w:tc>
        <w:tc>
          <w:tcPr>
            <w:tcW w:w="62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3级</w:t>
            </w:r>
          </w:p>
        </w:tc>
        <w:tc>
          <w:tcPr>
            <w:tcW w:w="62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4级</w:t>
            </w:r>
          </w:p>
        </w:tc>
        <w:tc>
          <w:tcPr>
            <w:tcW w:w="629"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37"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保温能耗(W·h)</w:t>
            </w:r>
          </w:p>
        </w:tc>
        <w:tc>
          <w:tcPr>
            <w:tcW w:w="1825"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600W&lt;P≤1000W</w:t>
            </w:r>
          </w:p>
        </w:tc>
        <w:tc>
          <w:tcPr>
            <w:tcW w:w="1256" w:type="dxa"/>
            <w:gridSpan w:val="2"/>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spacing w:val="20"/>
                <w:kern w:val="2"/>
              </w:rPr>
            </w:pPr>
            <w:r>
              <w:rPr>
                <w:rFonts w:hint="eastAsia" w:ascii="黑体" w:hAnsi="黑体" w:eastAsia="黑体" w:cs="黑体"/>
                <w:color w:val="1F4E79"/>
                <w:spacing w:val="20"/>
                <w:kern w:val="2"/>
              </w:rPr>
              <w:t>33</w:t>
            </w:r>
          </w:p>
        </w:tc>
        <w:tc>
          <w:tcPr>
            <w:tcW w:w="1885" w:type="dxa"/>
            <w:gridSpan w:val="3"/>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snapToGrid w:val="0"/>
              <w:contextualSpacing/>
              <w:jc w:val="center"/>
              <w:rPr>
                <w:rFonts w:ascii="黑体" w:hAnsi="黑体" w:eastAsia="黑体" w:cs="黑体"/>
                <w:color w:val="1F4E79"/>
                <w:spacing w:val="20"/>
                <w:kern w:val="2"/>
              </w:rPr>
            </w:pPr>
            <w:r>
              <w:rPr>
                <w:rFonts w:hint="eastAsia" w:ascii="黑体" w:hAnsi="黑体" w:eastAsia="黑体" w:cs="黑体"/>
                <w:color w:val="1F4E79"/>
                <w:spacing w:val="20"/>
                <w:kern w:val="2"/>
              </w:rPr>
              <w:t>68</w:t>
            </w:r>
          </w:p>
        </w:tc>
      </w:tr>
    </w:tbl>
    <w:p>
      <w:pPr>
        <w:widowControl w:val="0"/>
        <w:snapToGrid w:val="0"/>
        <w:spacing w:line="578" w:lineRule="exact"/>
        <w:ind w:firstLine="640" w:firstLineChars="200"/>
        <w:contextualSpacing/>
        <w:jc w:val="both"/>
        <w:rPr>
          <w:rFonts w:ascii="仿宋_GB2312" w:hAnsi="楷体" w:eastAsia="仿宋_GB2312"/>
          <w:kern w:val="2"/>
          <w:sz w:val="32"/>
          <w:szCs w:val="32"/>
          <w:highlight w:val="yellow"/>
        </w:rPr>
      </w:pPr>
      <w:r>
        <w:rPr>
          <w:rFonts w:hint="eastAsia" w:ascii="仿宋_GB2312" w:hAnsi="楷体" w:eastAsia="仿宋_GB2312"/>
          <w:kern w:val="2"/>
          <w:sz w:val="32"/>
          <w:szCs w:val="32"/>
        </w:rPr>
        <w:t>其中“</w:t>
      </w:r>
      <w:r>
        <w:rPr>
          <w:rFonts w:ascii="仿宋_GB2312" w:hAnsi="楷体" w:eastAsia="仿宋_GB2312"/>
          <w:kern w:val="2"/>
          <w:sz w:val="32"/>
          <w:szCs w:val="32"/>
        </w:rPr>
        <w:t>SANSUI</w:t>
      </w:r>
      <w:r>
        <w:rPr>
          <w:rFonts w:hint="eastAsia" w:ascii="仿宋_GB2312" w:hAnsi="楷体" w:eastAsia="仿宋_GB2312"/>
          <w:kern w:val="2"/>
          <w:sz w:val="32"/>
          <w:szCs w:val="32"/>
        </w:rPr>
        <w:t>”牌</w:t>
      </w:r>
      <w:r>
        <w:rPr>
          <w:rFonts w:ascii="仿宋_GB2312" w:hAnsi="楷体" w:eastAsia="仿宋_GB2312"/>
          <w:kern w:val="2"/>
          <w:sz w:val="32"/>
          <w:szCs w:val="32"/>
        </w:rPr>
        <w:t>DJ-50C003</w:t>
      </w:r>
      <w:r>
        <w:rPr>
          <w:rFonts w:hint="eastAsia" w:ascii="仿宋_GB2312" w:hAnsi="楷体" w:eastAsia="仿宋_GB2312"/>
          <w:kern w:val="2"/>
          <w:sz w:val="32"/>
          <w:szCs w:val="32"/>
        </w:rPr>
        <w:t>型智能电饭煲和“ASD爱仕达”牌</w:t>
      </w:r>
      <w:r>
        <w:rPr>
          <w:rFonts w:ascii="仿宋_GB2312" w:hAnsi="楷体" w:eastAsia="仿宋_GB2312"/>
          <w:kern w:val="2"/>
          <w:sz w:val="32"/>
          <w:szCs w:val="32"/>
        </w:rPr>
        <w:t>AR-F50E918</w:t>
      </w:r>
      <w:r>
        <w:rPr>
          <w:rFonts w:hint="eastAsia" w:ascii="仿宋_GB2312" w:hAnsi="楷体" w:eastAsia="仿宋_GB2312"/>
          <w:kern w:val="2"/>
          <w:sz w:val="32"/>
          <w:szCs w:val="32"/>
        </w:rPr>
        <w:t>型微电脑电饭煲的测试结果在</w:t>
      </w:r>
      <w:r>
        <w:rPr>
          <w:rFonts w:ascii="仿宋_GB2312" w:hAnsi="楷体" w:eastAsia="仿宋_GB2312"/>
          <w:kern w:val="2"/>
          <w:sz w:val="32"/>
          <w:szCs w:val="32"/>
        </w:rPr>
        <w:t>10W</w:t>
      </w:r>
      <w:r>
        <w:rPr>
          <w:rFonts w:hint="eastAsia" w:ascii="仿宋_GB2312" w:hAnsi="楷体" w:eastAsia="仿宋_GB2312"/>
          <w:kern w:val="2"/>
          <w:sz w:val="32"/>
          <w:szCs w:val="32"/>
        </w:rPr>
        <w:t>·</w:t>
      </w:r>
      <w:r>
        <w:rPr>
          <w:rFonts w:ascii="仿宋_GB2312" w:hAnsi="楷体" w:eastAsia="仿宋_GB2312"/>
          <w:kern w:val="2"/>
          <w:sz w:val="32"/>
          <w:szCs w:val="32"/>
        </w:rPr>
        <w:t>h</w:t>
      </w:r>
      <w:r>
        <w:rPr>
          <w:rFonts w:hint="eastAsia" w:ascii="仿宋_GB2312" w:hAnsi="楷体" w:eastAsia="仿宋_GB2312"/>
          <w:kern w:val="2"/>
          <w:sz w:val="32"/>
          <w:szCs w:val="32"/>
        </w:rPr>
        <w:t>以内。</w:t>
      </w:r>
    </w:p>
    <w:p>
      <w:pPr>
        <w:snapToGrid w:val="0"/>
        <w:spacing w:line="578" w:lineRule="exact"/>
        <w:ind w:firstLine="640" w:firstLineChars="200"/>
        <w:contextualSpacing/>
        <w:jc w:val="both"/>
        <w:rPr>
          <w:rFonts w:ascii="楷体_GB2312" w:hAnsi="楷体_GB2312" w:eastAsia="楷体_GB2312" w:cs="楷体_GB2312"/>
          <w:bCs/>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20955</wp:posOffset>
            </wp:positionH>
            <wp:positionV relativeFrom="paragraph">
              <wp:posOffset>15240</wp:posOffset>
            </wp:positionV>
            <wp:extent cx="5588635" cy="3069590"/>
            <wp:effectExtent l="0" t="0" r="12065" b="16510"/>
            <wp:wrapTopAndBottom/>
            <wp:docPr id="1030" name="图片 50" descr="/home/scjgj/Desktop/数据图片11.25/保温能耗.png保温能耗"/>
            <wp:cNvGraphicFramePr/>
            <a:graphic xmlns:a="http://schemas.openxmlformats.org/drawingml/2006/main">
              <a:graphicData uri="http://schemas.openxmlformats.org/drawingml/2006/picture">
                <pic:pic xmlns:pic="http://schemas.openxmlformats.org/drawingml/2006/picture">
                  <pic:nvPicPr>
                    <pic:cNvPr id="1030" name="图片 50" descr="/home/scjgj/Desktop/数据图片11.25/保温能耗.png保温能耗"/>
                    <pic:cNvPicPr/>
                  </pic:nvPicPr>
                  <pic:blipFill>
                    <a:blip r:embed="rId11" cstate="print"/>
                    <a:srcRect t="1176" b="1176"/>
                    <a:stretch>
                      <a:fillRect/>
                    </a:stretch>
                  </pic:blipFill>
                  <pic:spPr>
                    <a:xfrm>
                      <a:off x="0" y="0"/>
                      <a:ext cx="5588635" cy="3069590"/>
                    </a:xfrm>
                    <a:prstGeom prst="rect">
                      <a:avLst/>
                    </a:prstGeom>
                  </pic:spPr>
                </pic:pic>
              </a:graphicData>
            </a:graphic>
          </wp:anchor>
        </w:drawing>
      </w:r>
      <w:r>
        <w:rPr>
          <w:rFonts w:hint="eastAsia" w:ascii="楷体_GB2312" w:hAnsi="楷体_GB2312" w:eastAsia="楷体_GB2312" w:cs="楷体_GB2312"/>
          <w:bCs/>
          <w:kern w:val="2"/>
          <w:sz w:val="32"/>
          <w:szCs w:val="32"/>
        </w:rPr>
        <w:t>（三）待机功率</w:t>
      </w:r>
    </w:p>
    <w:p>
      <w:pPr>
        <w:widowControl w:val="0"/>
        <w:snapToGrid w:val="0"/>
        <w:spacing w:line="240" w:lineRule="auto"/>
        <w:ind w:firstLine="640" w:firstLineChars="200"/>
        <w:contextualSpacing/>
        <w:jc w:val="center"/>
        <w:rPr>
          <w:rFonts w:hint="eastAsia" w:ascii="仿宋_GB2312" w:hAnsi="楷体" w:eastAsia="仿宋_GB2312"/>
          <w:kern w:val="2"/>
          <w:sz w:val="32"/>
          <w:szCs w:val="32"/>
          <w:lang w:eastAsia="zh-CN"/>
        </w:rPr>
      </w:pPr>
      <w:r>
        <w:rPr>
          <w:rFonts w:hint="eastAsia" w:ascii="仿宋_GB2312" w:hAnsi="楷体" w:eastAsia="仿宋_GB2312"/>
          <w:kern w:val="2"/>
          <w:sz w:val="32"/>
          <w:szCs w:val="32"/>
          <w:lang w:eastAsia="zh-CN"/>
        </w:rPr>
        <w:drawing>
          <wp:inline distT="0" distB="0" distL="0" distR="0">
            <wp:extent cx="4009390" cy="762000"/>
            <wp:effectExtent l="0" t="0" r="9525" b="0"/>
            <wp:docPr id="1031" name="图片 10" descr="图片3"/>
            <wp:cNvGraphicFramePr/>
            <a:graphic xmlns:a="http://schemas.openxmlformats.org/drawingml/2006/main">
              <a:graphicData uri="http://schemas.openxmlformats.org/drawingml/2006/picture">
                <pic:pic xmlns:pic="http://schemas.openxmlformats.org/drawingml/2006/picture">
                  <pic:nvPicPr>
                    <pic:cNvPr id="1031" name="图片 10" descr="图片3"/>
                    <pic:cNvPicPr/>
                  </pic:nvPicPr>
                  <pic:blipFill>
                    <a:blip r:embed="rId12" cstate="print"/>
                    <a:srcRect/>
                    <a:stretch>
                      <a:fillRect/>
                    </a:stretch>
                  </pic:blipFill>
                  <pic:spPr>
                    <a:xfrm>
                      <a:off x="0" y="0"/>
                      <a:ext cx="4010024" cy="762000"/>
                    </a:xfrm>
                    <a:prstGeom prst="rect">
                      <a:avLst/>
                    </a:prstGeom>
                  </pic:spPr>
                </pic:pic>
              </a:graphicData>
            </a:graphic>
          </wp:inline>
        </w:drawing>
      </w:r>
    </w:p>
    <w:p>
      <w:pPr>
        <w:widowControl w:val="0"/>
        <w:snapToGrid w:val="0"/>
        <w:spacing w:line="578" w:lineRule="exact"/>
        <w:ind w:firstLine="640" w:firstLineChars="200"/>
        <w:contextualSpacing/>
        <w:jc w:val="both"/>
        <w:rPr>
          <w:rFonts w:hint="eastAsia" w:ascii="仿宋_GB2312" w:hAnsi="楷体" w:eastAsia="仿宋_GB2312"/>
          <w:kern w:val="2"/>
          <w:sz w:val="32"/>
          <w:szCs w:val="32"/>
        </w:rPr>
      </w:pPr>
      <w:r>
        <w:rPr>
          <w:rFonts w:hint="eastAsia" w:ascii="仿宋_GB2312" w:hAnsi="楷体" w:eastAsia="仿宋_GB2312"/>
          <w:kern w:val="2"/>
          <w:sz w:val="32"/>
          <w:szCs w:val="32"/>
        </w:rPr>
        <w:t>本次测试中，有</w:t>
      </w:r>
      <w:r>
        <w:rPr>
          <w:rFonts w:ascii="仿宋_GB2312" w:hAnsi="楷体" w:eastAsia="仿宋_GB2312"/>
          <w:kern w:val="2"/>
          <w:sz w:val="32"/>
          <w:szCs w:val="32"/>
        </w:rPr>
        <w:t>1</w:t>
      </w:r>
      <w:r>
        <w:rPr>
          <w:rFonts w:hint="eastAsia" w:ascii="仿宋_GB2312" w:hAnsi="楷体" w:eastAsia="仿宋_GB2312"/>
          <w:kern w:val="2"/>
          <w:sz w:val="32"/>
          <w:szCs w:val="32"/>
        </w:rPr>
        <w:t>台电饭煲样品带有Wi</w:t>
      </w:r>
      <w:r>
        <w:rPr>
          <w:rFonts w:ascii="仿宋_GB2312" w:hAnsi="楷体" w:eastAsia="仿宋_GB2312"/>
          <w:kern w:val="2"/>
          <w:sz w:val="32"/>
          <w:szCs w:val="32"/>
        </w:rPr>
        <w:t>-F</w:t>
      </w:r>
      <w:r>
        <w:rPr>
          <w:rFonts w:hint="eastAsia" w:ascii="仿宋_GB2312" w:hAnsi="楷体" w:eastAsia="仿宋_GB2312"/>
          <w:kern w:val="2"/>
          <w:sz w:val="32"/>
          <w:szCs w:val="32"/>
        </w:rPr>
        <w:t>i通讯协议功能，待机功率测试项目不适用，未进行结果统计，其余1</w:t>
      </w:r>
      <w:r>
        <w:rPr>
          <w:rFonts w:ascii="仿宋_GB2312" w:hAnsi="楷体" w:eastAsia="仿宋_GB2312"/>
          <w:kern w:val="2"/>
          <w:sz w:val="32"/>
          <w:szCs w:val="32"/>
        </w:rPr>
        <w:t>5</w:t>
      </w:r>
      <w:r>
        <w:rPr>
          <w:rFonts w:hint="eastAsia" w:ascii="仿宋_GB2312" w:hAnsi="楷体" w:eastAsia="仿宋_GB2312"/>
          <w:kern w:val="2"/>
          <w:sz w:val="32"/>
          <w:szCs w:val="32"/>
        </w:rPr>
        <w:t>台电饭煲样品的待机功率均小于</w:t>
      </w:r>
      <w:r>
        <w:rPr>
          <w:rFonts w:ascii="仿宋_GB2312" w:hAnsi="楷体" w:eastAsia="仿宋_GB2312"/>
          <w:kern w:val="2"/>
          <w:sz w:val="32"/>
          <w:szCs w:val="32"/>
        </w:rPr>
        <w:t>1.0W</w:t>
      </w:r>
      <w:r>
        <w:rPr>
          <w:rFonts w:hint="eastAsia" w:ascii="仿宋_GB2312" w:hAnsi="楷体" w:eastAsia="仿宋_GB2312"/>
          <w:kern w:val="2"/>
          <w:sz w:val="32"/>
          <w:szCs w:val="32"/>
        </w:rPr>
        <w:t>，满足能效等级中的2级要求。</w:t>
      </w:r>
    </w:p>
    <w:p>
      <w:pPr>
        <w:widowControl w:val="0"/>
        <w:snapToGrid w:val="0"/>
        <w:spacing w:line="578" w:lineRule="exact"/>
        <w:contextualSpacing/>
        <w:jc w:val="center"/>
        <w:rPr>
          <w:rFonts w:ascii="仿宋_GB2312" w:hAnsi="楷体" w:eastAsia="仿宋_GB2312"/>
          <w:kern w:val="2"/>
          <w:sz w:val="32"/>
          <w:szCs w:val="32"/>
        </w:rPr>
      </w:pPr>
      <w:r>
        <w:rPr>
          <w:rFonts w:hint="eastAsia" w:ascii="黑体" w:hAnsi="黑体" w:eastAsia="黑体" w:cs="仿宋_GB2312"/>
          <w:kern w:val="2"/>
        </w:rPr>
        <w:t>电饭煲待机功率能效等级标准</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716"/>
        <w:gridCol w:w="694"/>
        <w:gridCol w:w="694"/>
        <w:gridCol w:w="694"/>
        <w:gridCol w:w="694"/>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329" w:type="dxa"/>
            <w:gridSpan w:val="2"/>
            <w:tcBorders>
              <w:top w:val="single" w:color="FFFFFF" w:sz="4" w:space="0"/>
              <w:left w:val="single" w:color="FFFFFF" w:sz="4" w:space="0"/>
              <w:bottom w:val="single" w:color="FFFFFF" w:sz="4" w:space="0"/>
              <w:right w:val="single" w:color="FFFFFF" w:sz="4" w:space="0"/>
              <w:tl2br w:val="nil"/>
            </w:tcBorders>
            <w:shd w:val="clear" w:color="auto" w:fill="4472C4"/>
            <w:vAlign w:val="center"/>
          </w:tcPr>
          <w:p>
            <w:pPr>
              <w:widowControl w:val="0"/>
              <w:adjustRightInd w:val="0"/>
              <w:snapToGrid w:val="0"/>
              <w:contextualSpacing/>
              <w:jc w:val="center"/>
              <w:rPr>
                <w:rFonts w:ascii="黑体" w:hAnsi="黑体" w:eastAsia="黑体" w:cs="黑体"/>
                <w:b/>
                <w:color w:val="FFFFFF"/>
                <w:kern w:val="2"/>
              </w:rPr>
            </w:pPr>
            <w:r>
              <w:rPr>
                <w:rFonts w:hint="eastAsia" w:ascii="黑体" w:hAnsi="黑体" w:eastAsia="黑体" w:cs="黑体"/>
                <w:b/>
                <w:color w:val="FFFFFF"/>
                <w:spacing w:val="20"/>
                <w:kern w:val="2"/>
              </w:rPr>
              <w:t>能效等级</w:t>
            </w:r>
          </w:p>
        </w:tc>
        <w:tc>
          <w:tcPr>
            <w:tcW w:w="694"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adjustRightInd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1级</w:t>
            </w:r>
          </w:p>
        </w:tc>
        <w:tc>
          <w:tcPr>
            <w:tcW w:w="694"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adjustRightInd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2级</w:t>
            </w:r>
          </w:p>
        </w:tc>
        <w:tc>
          <w:tcPr>
            <w:tcW w:w="694"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adjustRightInd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3级</w:t>
            </w:r>
          </w:p>
        </w:tc>
        <w:tc>
          <w:tcPr>
            <w:tcW w:w="694"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adjustRightInd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4级</w:t>
            </w:r>
          </w:p>
        </w:tc>
        <w:tc>
          <w:tcPr>
            <w:tcW w:w="698" w:type="dxa"/>
            <w:tcBorders>
              <w:top w:val="single" w:color="FFFFFF" w:sz="4" w:space="0"/>
              <w:left w:val="single" w:color="FFFFFF" w:sz="4" w:space="0"/>
              <w:bottom w:val="single" w:color="FFFFFF" w:sz="4" w:space="0"/>
              <w:right w:val="single" w:color="FFFFFF" w:sz="4" w:space="0"/>
            </w:tcBorders>
            <w:shd w:val="clear" w:color="auto" w:fill="4472C4"/>
            <w:vAlign w:val="center"/>
          </w:tcPr>
          <w:p>
            <w:pPr>
              <w:widowControl w:val="0"/>
              <w:adjustRightInd w:val="0"/>
              <w:snapToGrid w:val="0"/>
              <w:contextualSpacing/>
              <w:jc w:val="center"/>
              <w:rPr>
                <w:rFonts w:ascii="黑体" w:hAnsi="黑体" w:eastAsia="黑体" w:cs="黑体"/>
                <w:b/>
                <w:color w:val="FFFFFF"/>
                <w:kern w:val="2"/>
              </w:rPr>
            </w:pPr>
            <w:r>
              <w:rPr>
                <w:rFonts w:hint="eastAsia" w:ascii="黑体" w:hAnsi="黑体" w:eastAsia="黑体" w:cs="黑体"/>
                <w:b/>
                <w:color w:val="FFFFFF"/>
                <w:kern w:val="2"/>
              </w:rPr>
              <w:t>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adjustRightInd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待机功率(W)</w:t>
            </w:r>
          </w:p>
        </w:tc>
        <w:tc>
          <w:tcPr>
            <w:tcW w:w="1716" w:type="dxa"/>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adjustRightInd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电热元件加热</w:t>
            </w:r>
          </w:p>
        </w:tc>
        <w:tc>
          <w:tcPr>
            <w:tcW w:w="1388" w:type="dxa"/>
            <w:gridSpan w:val="2"/>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adjustRightInd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1.0</w:t>
            </w:r>
          </w:p>
        </w:tc>
        <w:tc>
          <w:tcPr>
            <w:tcW w:w="2086" w:type="dxa"/>
            <w:gridSpan w:val="3"/>
            <w:tcBorders>
              <w:top w:val="single" w:color="FFFFFF" w:sz="4" w:space="0"/>
              <w:left w:val="single" w:color="FFFFFF" w:sz="4" w:space="0"/>
              <w:bottom w:val="single" w:color="FFFFFF" w:sz="4" w:space="0"/>
              <w:right w:val="single" w:color="FFFFFF" w:sz="4" w:space="0"/>
            </w:tcBorders>
            <w:shd w:val="clear" w:color="auto" w:fill="D9E3F3"/>
            <w:vAlign w:val="center"/>
          </w:tcPr>
          <w:p>
            <w:pPr>
              <w:widowControl w:val="0"/>
              <w:adjustRightInd w:val="0"/>
              <w:snapToGrid w:val="0"/>
              <w:contextualSpacing/>
              <w:jc w:val="center"/>
              <w:rPr>
                <w:rFonts w:ascii="黑体" w:hAnsi="黑体" w:eastAsia="黑体" w:cs="黑体"/>
                <w:color w:val="1F4E79"/>
                <w:kern w:val="2"/>
              </w:rPr>
            </w:pPr>
            <w:r>
              <w:rPr>
                <w:rFonts w:hint="eastAsia" w:ascii="黑体" w:hAnsi="黑体" w:eastAsia="黑体" w:cs="黑体"/>
                <w:color w:val="1F4E79"/>
                <w:kern w:val="2"/>
              </w:rPr>
              <w:t>1.8</w:t>
            </w:r>
          </w:p>
        </w:tc>
      </w:tr>
    </w:tbl>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其中</w:t>
      </w:r>
      <w:r>
        <w:rPr>
          <w:rFonts w:ascii="仿宋_GB2312" w:hAnsi="楷体" w:eastAsia="仿宋_GB2312"/>
          <w:kern w:val="2"/>
          <w:sz w:val="32"/>
          <w:szCs w:val="32"/>
        </w:rPr>
        <w:t>12</w:t>
      </w:r>
      <w:r>
        <w:rPr>
          <w:rFonts w:hint="eastAsia" w:ascii="仿宋_GB2312" w:hAnsi="楷体" w:eastAsia="仿宋_GB2312"/>
          <w:kern w:val="2"/>
          <w:sz w:val="32"/>
          <w:szCs w:val="32"/>
        </w:rPr>
        <w:t>台电饭煲样品的待机功率小于</w:t>
      </w:r>
      <w:r>
        <w:rPr>
          <w:rFonts w:ascii="仿宋_GB2312" w:hAnsi="楷体" w:eastAsia="仿宋_GB2312"/>
          <w:kern w:val="2"/>
          <w:sz w:val="32"/>
          <w:szCs w:val="32"/>
        </w:rPr>
        <w:t>0.5W</w:t>
      </w:r>
      <w:r>
        <w:rPr>
          <w:rFonts w:hint="eastAsia" w:ascii="仿宋_GB2312" w:hAnsi="楷体" w:eastAsia="仿宋_GB2312"/>
          <w:kern w:val="2"/>
          <w:sz w:val="32"/>
          <w:szCs w:val="32"/>
        </w:rPr>
        <w:t>。</w:t>
      </w:r>
    </w:p>
    <w:p>
      <w:pPr>
        <w:widowControl w:val="0"/>
        <w:snapToGrid w:val="0"/>
        <w:ind w:firstLine="640" w:firstLineChars="200"/>
        <w:contextualSpacing/>
        <w:jc w:val="both"/>
        <w:rPr>
          <w:rFonts w:ascii="楷体_GB2312" w:hAnsi="楷体_GB2312" w:eastAsia="楷体_GB2312" w:cs="楷体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9525</wp:posOffset>
            </wp:positionH>
            <wp:positionV relativeFrom="paragraph">
              <wp:posOffset>167640</wp:posOffset>
            </wp:positionV>
            <wp:extent cx="5915660" cy="3098800"/>
            <wp:effectExtent l="0" t="0" r="8890" b="6350"/>
            <wp:wrapTopAndBottom/>
            <wp:docPr id="1032" name="图片 22" descr="/home/scjgj/Desktop/数据图片11.25/待机功率.png待机功率"/>
            <wp:cNvGraphicFramePr/>
            <a:graphic xmlns:a="http://schemas.openxmlformats.org/drawingml/2006/main">
              <a:graphicData uri="http://schemas.openxmlformats.org/drawingml/2006/picture">
                <pic:pic xmlns:pic="http://schemas.openxmlformats.org/drawingml/2006/picture">
                  <pic:nvPicPr>
                    <pic:cNvPr id="1032" name="图片 22" descr="/home/scjgj/Desktop/数据图片11.25/待机功率.png待机功率"/>
                    <pic:cNvPicPr/>
                  </pic:nvPicPr>
                  <pic:blipFill>
                    <a:blip r:embed="rId13" cstate="print"/>
                    <a:srcRect t="628" b="628"/>
                    <a:stretch>
                      <a:fillRect/>
                    </a:stretch>
                  </pic:blipFill>
                  <pic:spPr>
                    <a:xfrm>
                      <a:off x="0" y="0"/>
                      <a:ext cx="5915660" cy="3098800"/>
                    </a:xfrm>
                    <a:prstGeom prst="rect">
                      <a:avLst/>
                    </a:prstGeom>
                  </pic:spPr>
                </pic:pic>
              </a:graphicData>
            </a:graphic>
          </wp:anchor>
        </w:drawing>
      </w:r>
      <w:r>
        <w:rPr>
          <w:rFonts w:hint="eastAsia" w:ascii="楷体_GB2312" w:hAnsi="楷体_GB2312" w:eastAsia="楷体_GB2312" w:cs="楷体_GB2312"/>
          <w:kern w:val="2"/>
          <w:sz w:val="32"/>
          <w:szCs w:val="32"/>
        </w:rPr>
        <w:t>（四）保温温度</w:t>
      </w:r>
    </w:p>
    <w:p>
      <w:pPr>
        <w:widowControl w:val="0"/>
        <w:snapToGrid w:val="0"/>
        <w:spacing w:line="240" w:lineRule="auto"/>
        <w:ind w:firstLine="640" w:firstLineChars="200"/>
        <w:contextualSpacing/>
        <w:jc w:val="center"/>
        <w:rPr>
          <w:rFonts w:hint="eastAsia" w:ascii="仿宋_GB2312" w:hAnsi="楷体" w:eastAsia="仿宋_GB2312"/>
          <w:kern w:val="2"/>
          <w:sz w:val="32"/>
          <w:szCs w:val="32"/>
          <w:lang w:eastAsia="zh-CN"/>
        </w:rPr>
      </w:pPr>
      <w:r>
        <w:rPr>
          <w:rFonts w:hint="eastAsia" w:ascii="仿宋_GB2312" w:hAnsi="楷体" w:eastAsia="仿宋_GB2312"/>
          <w:kern w:val="2"/>
          <w:sz w:val="32"/>
          <w:szCs w:val="32"/>
          <w:lang w:eastAsia="zh-CN"/>
        </w:rPr>
        <w:drawing>
          <wp:inline distT="0" distB="0" distL="0" distR="0">
            <wp:extent cx="4009390" cy="1409700"/>
            <wp:effectExtent l="0" t="0" r="9525" b="0"/>
            <wp:docPr id="1033" name="图片 9" descr="图片4"/>
            <wp:cNvGraphicFramePr/>
            <a:graphic xmlns:a="http://schemas.openxmlformats.org/drawingml/2006/main">
              <a:graphicData uri="http://schemas.openxmlformats.org/drawingml/2006/picture">
                <pic:pic xmlns:pic="http://schemas.openxmlformats.org/drawingml/2006/picture">
                  <pic:nvPicPr>
                    <pic:cNvPr id="1033" name="图片 9" descr="图片4"/>
                    <pic:cNvPicPr/>
                  </pic:nvPicPr>
                  <pic:blipFill>
                    <a:blip r:embed="rId14" cstate="print"/>
                    <a:srcRect/>
                    <a:stretch>
                      <a:fillRect/>
                    </a:stretch>
                  </pic:blipFill>
                  <pic:spPr>
                    <a:xfrm>
                      <a:off x="0" y="0"/>
                      <a:ext cx="4010024" cy="1409700"/>
                    </a:xfrm>
                    <a:prstGeom prst="rect">
                      <a:avLst/>
                    </a:prstGeom>
                  </pic:spPr>
                </pic:pic>
              </a:graphicData>
            </a:graphic>
          </wp:inline>
        </w:drawing>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国家标准G</w:t>
      </w:r>
      <w:r>
        <w:rPr>
          <w:rFonts w:ascii="仿宋_GB2312" w:hAnsi="楷体" w:eastAsia="仿宋_GB2312"/>
          <w:kern w:val="2"/>
          <w:sz w:val="32"/>
          <w:szCs w:val="32"/>
        </w:rPr>
        <w:t>B/T</w:t>
      </w:r>
      <w:r>
        <w:rPr>
          <w:rFonts w:hint="eastAsia" w:ascii="仿宋_GB2312" w:hAnsi="楷体" w:eastAsia="仿宋_GB2312"/>
          <w:kern w:val="2"/>
          <w:sz w:val="32"/>
          <w:szCs w:val="32"/>
        </w:rPr>
        <w:t xml:space="preserve"> </w:t>
      </w:r>
      <w:r>
        <w:rPr>
          <w:rFonts w:ascii="仿宋_GB2312" w:hAnsi="楷体" w:eastAsia="仿宋_GB2312"/>
          <w:kern w:val="2"/>
          <w:sz w:val="32"/>
          <w:szCs w:val="32"/>
        </w:rPr>
        <w:t>40978-2021</w:t>
      </w:r>
      <w:r>
        <w:rPr>
          <w:rFonts w:hint="eastAsia" w:ascii="仿宋_GB2312" w:hAnsi="楷体" w:eastAsia="仿宋_GB2312"/>
          <w:kern w:val="2"/>
          <w:sz w:val="32"/>
          <w:szCs w:val="32"/>
        </w:rPr>
        <w:t>《电饭锅》要求“对于带有保温功能的器具，其保温温度应不低于60℃”，本次测试结果1</w:t>
      </w:r>
      <w:r>
        <w:rPr>
          <w:rFonts w:ascii="仿宋_GB2312" w:hAnsi="楷体" w:eastAsia="仿宋_GB2312"/>
          <w:kern w:val="2"/>
          <w:sz w:val="32"/>
          <w:szCs w:val="32"/>
        </w:rPr>
        <w:t>6</w:t>
      </w:r>
      <w:r>
        <w:rPr>
          <w:rFonts w:hint="eastAsia" w:ascii="仿宋_GB2312" w:hAnsi="楷体" w:eastAsia="仿宋_GB2312"/>
          <w:kern w:val="2"/>
          <w:sz w:val="32"/>
          <w:szCs w:val="32"/>
        </w:rPr>
        <w:t>台电饭煲样品的保温温度均满足标准要求。</w:t>
      </w:r>
    </w:p>
    <w:p>
      <w:pPr>
        <w:widowControl w:val="0"/>
        <w:snapToGrid w:val="0"/>
        <w:ind w:firstLine="640" w:firstLineChars="200"/>
        <w:contextualSpacing/>
        <w:rPr>
          <w:rFonts w:ascii="楷体_GB2312" w:hAnsi="楷体_GB2312" w:eastAsia="楷体_GB2312" w:cs="楷体_GB2312"/>
          <w:kern w:val="2"/>
          <w:sz w:val="32"/>
          <w:szCs w:val="32"/>
        </w:rPr>
      </w:pPr>
      <w:r>
        <w:rPr>
          <w:rFonts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-713740</wp:posOffset>
            </wp:positionH>
            <wp:positionV relativeFrom="paragraph">
              <wp:posOffset>143510</wp:posOffset>
            </wp:positionV>
            <wp:extent cx="6701155" cy="1273175"/>
            <wp:effectExtent l="0" t="0" r="0" b="0"/>
            <wp:wrapTopAndBottom/>
            <wp:docPr id="1034" name="图片 24" descr="/home/scjgj/Desktop/数据图片11.25/温度.png温度"/>
            <wp:cNvGraphicFramePr/>
            <a:graphic xmlns:a="http://schemas.openxmlformats.org/drawingml/2006/main">
              <a:graphicData uri="http://schemas.openxmlformats.org/drawingml/2006/picture">
                <pic:pic xmlns:pic="http://schemas.openxmlformats.org/drawingml/2006/picture">
                  <pic:nvPicPr>
                    <pic:cNvPr id="1034" name="图片 24" descr="/home/scjgj/Desktop/数据图片11.25/温度.png温度"/>
                    <pic:cNvPicPr/>
                  </pic:nvPicPr>
                  <pic:blipFill>
                    <a:blip r:embed="rId15" cstate="print"/>
                    <a:srcRect l="162" r="379"/>
                    <a:stretch>
                      <a:fillRect/>
                    </a:stretch>
                  </pic:blipFill>
                  <pic:spPr>
                    <a:xfrm>
                      <a:off x="0" y="0"/>
                      <a:ext cx="6701155" cy="1273175"/>
                    </a:xfrm>
                    <a:prstGeom prst="rect">
                      <a:avLst/>
                    </a:prstGeom>
                  </pic:spPr>
                </pic:pic>
              </a:graphicData>
            </a:graphic>
          </wp:anchor>
        </w:drawing>
      </w:r>
      <w:r>
        <w:rPr>
          <w:rFonts w:hint="eastAsia" w:ascii="楷体_GB2312" w:hAnsi="楷体_GB2312" w:eastAsia="楷体_GB2312" w:cs="楷体_GB2312"/>
          <w:kern w:val="2"/>
          <w:sz w:val="32"/>
          <w:szCs w:val="32"/>
        </w:rPr>
        <w:t>（五）煮米饭不粘性</w:t>
      </w:r>
    </w:p>
    <w:p>
      <w:pPr>
        <w:widowControl w:val="0"/>
        <w:snapToGrid w:val="0"/>
        <w:spacing w:line="240" w:lineRule="auto"/>
        <w:ind w:firstLine="640" w:firstLineChars="200"/>
        <w:contextualSpacing/>
        <w:jc w:val="center"/>
        <w:rPr>
          <w:rFonts w:hint="eastAsia" w:ascii="仿宋_GB2312" w:hAnsi="楷体" w:eastAsia="仿宋_GB2312"/>
          <w:kern w:val="2"/>
          <w:sz w:val="32"/>
          <w:szCs w:val="32"/>
          <w:lang w:eastAsia="zh-CN"/>
        </w:rPr>
      </w:pPr>
      <w:r>
        <w:rPr>
          <w:rFonts w:hint="eastAsia" w:ascii="仿宋_GB2312" w:hAnsi="楷体" w:eastAsia="仿宋_GB2312"/>
          <w:kern w:val="2"/>
          <w:sz w:val="32"/>
          <w:szCs w:val="32"/>
          <w:lang w:eastAsia="zh-CN"/>
        </w:rPr>
        <w:drawing>
          <wp:inline distT="0" distB="0" distL="0" distR="0">
            <wp:extent cx="4009390" cy="1447800"/>
            <wp:effectExtent l="0" t="0" r="9525" b="0"/>
            <wp:docPr id="1035" name="图片 8" descr="图片5"/>
            <wp:cNvGraphicFramePr/>
            <a:graphic xmlns:a="http://schemas.openxmlformats.org/drawingml/2006/main">
              <a:graphicData uri="http://schemas.openxmlformats.org/drawingml/2006/picture">
                <pic:pic xmlns:pic="http://schemas.openxmlformats.org/drawingml/2006/picture">
                  <pic:nvPicPr>
                    <pic:cNvPr id="1035" name="图片 8" descr="图片5"/>
                    <pic:cNvPicPr/>
                  </pic:nvPicPr>
                  <pic:blipFill>
                    <a:blip r:embed="rId16" cstate="print"/>
                    <a:srcRect/>
                    <a:stretch>
                      <a:fillRect/>
                    </a:stretch>
                  </pic:blipFill>
                  <pic:spPr>
                    <a:xfrm>
                      <a:off x="0" y="0"/>
                      <a:ext cx="4010024" cy="1447800"/>
                    </a:xfrm>
                    <a:prstGeom prst="rect">
                      <a:avLst/>
                    </a:prstGeom>
                  </pic:spPr>
                </pic:pic>
              </a:graphicData>
            </a:graphic>
          </wp:inline>
        </w:drawing>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国家标准中煮米饭不粘性</w:t>
      </w:r>
      <w:bookmarkStart w:id="0" w:name="OLE_LINK1"/>
      <w:r>
        <w:rPr>
          <w:rFonts w:ascii="仿宋_GB2312" w:hAnsi="楷体" w:eastAsia="仿宋_GB2312"/>
          <w:kern w:val="2"/>
          <w:sz w:val="32"/>
          <w:szCs w:val="32"/>
        </w:rPr>
        <w:fldChar w:fldCharType="begin"/>
      </w:r>
      <w:r>
        <w:rPr>
          <w:rFonts w:ascii="仿宋_GB2312" w:hAnsi="楷体" w:eastAsia="仿宋_GB2312"/>
          <w:kern w:val="2"/>
          <w:sz w:val="32"/>
          <w:szCs w:val="32"/>
        </w:rPr>
        <w:instrText xml:space="preserve"> </w:instrText>
      </w:r>
      <w:r>
        <w:rPr>
          <w:rFonts w:hint="eastAsia" w:ascii="仿宋_GB2312" w:hAnsi="楷体" w:eastAsia="仿宋_GB2312"/>
          <w:kern w:val="2"/>
          <w:sz w:val="32"/>
          <w:szCs w:val="32"/>
        </w:rPr>
        <w:instrText xml:space="preserve">= 2 \* ROMAN</w:instrText>
      </w:r>
      <w:r>
        <w:rPr>
          <w:rFonts w:ascii="仿宋_GB2312" w:hAnsi="楷体" w:eastAsia="仿宋_GB2312"/>
          <w:kern w:val="2"/>
          <w:sz w:val="32"/>
          <w:szCs w:val="32"/>
        </w:rPr>
        <w:instrText xml:space="preserve"> </w:instrText>
      </w:r>
      <w:r>
        <w:rPr>
          <w:rFonts w:ascii="仿宋_GB2312" w:hAnsi="楷体" w:eastAsia="仿宋_GB2312"/>
          <w:kern w:val="2"/>
          <w:sz w:val="32"/>
          <w:szCs w:val="32"/>
        </w:rPr>
        <w:fldChar w:fldCharType="separate"/>
      </w:r>
      <w:r>
        <w:rPr>
          <w:rFonts w:ascii="仿宋_GB2312" w:hAnsi="楷体" w:eastAsia="仿宋_GB2312"/>
          <w:kern w:val="2"/>
          <w:sz w:val="32"/>
          <w:szCs w:val="32"/>
        </w:rPr>
        <w:t>II</w:t>
      </w:r>
      <w:r>
        <w:rPr>
          <w:rFonts w:ascii="仿宋_GB2312" w:hAnsi="楷体" w:eastAsia="仿宋_GB2312"/>
          <w:kern w:val="2"/>
          <w:sz w:val="32"/>
          <w:szCs w:val="32"/>
        </w:rPr>
        <w:fldChar w:fldCharType="end"/>
      </w:r>
      <w:r>
        <w:rPr>
          <w:rFonts w:hint="eastAsia" w:ascii="仿宋_GB2312" w:hAnsi="楷体" w:eastAsia="仿宋_GB2312"/>
          <w:kern w:val="2"/>
          <w:sz w:val="32"/>
          <w:szCs w:val="32"/>
        </w:rPr>
        <w:t>级要求</w:t>
      </w:r>
      <w:bookmarkEnd w:id="0"/>
      <w:r>
        <w:rPr>
          <w:rFonts w:hint="eastAsia" w:ascii="仿宋_GB2312" w:hAnsi="楷体" w:eastAsia="仿宋_GB2312"/>
          <w:kern w:val="2"/>
          <w:sz w:val="32"/>
          <w:szCs w:val="32"/>
        </w:rPr>
        <w:t>“轻摇烹饪器具，仍有米饭粘在涂层上，米饭重量≤5</w:t>
      </w:r>
      <w:r>
        <w:rPr>
          <w:rFonts w:ascii="仿宋_GB2312" w:hAnsi="楷体" w:eastAsia="仿宋_GB2312"/>
          <w:kern w:val="2"/>
          <w:sz w:val="32"/>
          <w:szCs w:val="32"/>
        </w:rPr>
        <w:t>0</w:t>
      </w:r>
      <w:r>
        <w:rPr>
          <w:rFonts w:hint="eastAsia" w:ascii="仿宋_GB2312" w:hAnsi="楷体" w:eastAsia="仿宋_GB2312"/>
          <w:kern w:val="2"/>
          <w:sz w:val="32"/>
          <w:szCs w:val="32"/>
        </w:rPr>
        <w:t>g”，本次测试结果1</w:t>
      </w:r>
      <w:r>
        <w:rPr>
          <w:rFonts w:ascii="仿宋_GB2312" w:hAnsi="楷体" w:eastAsia="仿宋_GB2312"/>
          <w:kern w:val="2"/>
          <w:sz w:val="32"/>
          <w:szCs w:val="32"/>
        </w:rPr>
        <w:t>6</w:t>
      </w:r>
      <w:r>
        <w:rPr>
          <w:rFonts w:hint="eastAsia" w:ascii="仿宋_GB2312" w:hAnsi="楷体" w:eastAsia="仿宋_GB2312"/>
          <w:kern w:val="2"/>
          <w:sz w:val="32"/>
          <w:szCs w:val="32"/>
        </w:rPr>
        <w:t>台电饭煲样品的煮米饭不粘性结果均小于</w:t>
      </w:r>
      <w:r>
        <w:rPr>
          <w:rFonts w:ascii="仿宋_GB2312" w:hAnsi="楷体" w:eastAsia="仿宋_GB2312"/>
          <w:kern w:val="2"/>
          <w:sz w:val="32"/>
          <w:szCs w:val="32"/>
        </w:rPr>
        <w:t>50</w:t>
      </w:r>
      <w:r>
        <w:rPr>
          <w:rFonts w:hint="eastAsia" w:ascii="仿宋_GB2312" w:hAnsi="楷体" w:eastAsia="仿宋_GB2312"/>
          <w:kern w:val="2"/>
          <w:sz w:val="32"/>
          <w:szCs w:val="32"/>
        </w:rPr>
        <w:t>g，达到标准</w:t>
      </w:r>
      <w:r>
        <w:rPr>
          <w:rFonts w:ascii="仿宋_GB2312" w:hAnsi="楷体" w:eastAsia="仿宋_GB2312"/>
          <w:kern w:val="2"/>
          <w:sz w:val="32"/>
          <w:szCs w:val="32"/>
        </w:rPr>
        <w:fldChar w:fldCharType="begin"/>
      </w:r>
      <w:r>
        <w:rPr>
          <w:rFonts w:ascii="仿宋_GB2312" w:hAnsi="楷体" w:eastAsia="仿宋_GB2312"/>
          <w:kern w:val="2"/>
          <w:sz w:val="32"/>
          <w:szCs w:val="32"/>
        </w:rPr>
        <w:instrText xml:space="preserve"> </w:instrText>
      </w:r>
      <w:r>
        <w:rPr>
          <w:rFonts w:hint="eastAsia" w:ascii="仿宋_GB2312" w:hAnsi="楷体" w:eastAsia="仿宋_GB2312"/>
          <w:kern w:val="2"/>
          <w:sz w:val="32"/>
          <w:szCs w:val="32"/>
        </w:rPr>
        <w:instrText xml:space="preserve">= 2 \* ROMAN</w:instrText>
      </w:r>
      <w:r>
        <w:rPr>
          <w:rFonts w:ascii="仿宋_GB2312" w:hAnsi="楷体" w:eastAsia="仿宋_GB2312"/>
          <w:kern w:val="2"/>
          <w:sz w:val="32"/>
          <w:szCs w:val="32"/>
        </w:rPr>
        <w:instrText xml:space="preserve"> </w:instrText>
      </w:r>
      <w:r>
        <w:rPr>
          <w:rFonts w:ascii="仿宋_GB2312" w:hAnsi="楷体" w:eastAsia="仿宋_GB2312"/>
          <w:kern w:val="2"/>
          <w:sz w:val="32"/>
          <w:szCs w:val="32"/>
        </w:rPr>
        <w:fldChar w:fldCharType="separate"/>
      </w:r>
      <w:r>
        <w:rPr>
          <w:rFonts w:ascii="仿宋_GB2312" w:hAnsi="楷体" w:eastAsia="仿宋_GB2312"/>
          <w:kern w:val="2"/>
          <w:sz w:val="32"/>
          <w:szCs w:val="32"/>
        </w:rPr>
        <w:t>II</w:t>
      </w:r>
      <w:r>
        <w:rPr>
          <w:rFonts w:ascii="仿宋_GB2312" w:hAnsi="楷体" w:eastAsia="仿宋_GB2312"/>
          <w:kern w:val="2"/>
          <w:sz w:val="32"/>
          <w:szCs w:val="32"/>
        </w:rPr>
        <w:fldChar w:fldCharType="end"/>
      </w:r>
      <w:r>
        <w:rPr>
          <w:rFonts w:hint="eastAsia" w:ascii="仿宋_GB2312" w:hAnsi="楷体" w:eastAsia="仿宋_GB2312"/>
          <w:kern w:val="2"/>
          <w:sz w:val="32"/>
          <w:szCs w:val="32"/>
        </w:rPr>
        <w:t>级要求。</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其中，“Midea”牌MB-RE572型全智能电饭煲、“TOSHIBA”牌RC-18DHTC</w:t>
      </w:r>
      <w:r>
        <w:rPr>
          <w:rFonts w:hint="eastAsia" w:ascii="仿宋_GB2312" w:hAnsi="楷体" w:eastAsia="仿宋_GB2312"/>
          <w:kern w:val="2"/>
          <w:sz w:val="32"/>
          <w:szCs w:val="32"/>
          <w:lang w:eastAsia="zh-CN"/>
        </w:rPr>
        <w:t>（</w:t>
      </w:r>
      <w:r>
        <w:rPr>
          <w:rFonts w:hint="eastAsia" w:ascii="仿宋_GB2312" w:hAnsi="楷体" w:eastAsia="仿宋_GB2312"/>
          <w:kern w:val="2"/>
          <w:sz w:val="32"/>
          <w:szCs w:val="32"/>
        </w:rPr>
        <w:t>K</w:t>
      </w:r>
      <w:r>
        <w:rPr>
          <w:rFonts w:hint="eastAsia" w:ascii="仿宋_GB2312" w:hAnsi="楷体" w:eastAsia="仿宋_GB2312"/>
          <w:kern w:val="2"/>
          <w:sz w:val="32"/>
          <w:szCs w:val="32"/>
          <w:lang w:eastAsia="zh-CN"/>
        </w:rPr>
        <w:t>）</w:t>
      </w:r>
      <w:r>
        <w:rPr>
          <w:rFonts w:hint="eastAsia" w:ascii="仿宋_GB2312" w:hAnsi="楷体" w:eastAsia="仿宋_GB2312"/>
          <w:kern w:val="2"/>
          <w:sz w:val="32"/>
          <w:szCs w:val="32"/>
        </w:rPr>
        <w:t>型全智能电饭煲、“Joyoung九阳”牌F50FY-F575型微电脑智能电饭煲的测试结果小于等于2g，表现较为优异。</w:t>
      </w:r>
    </w:p>
    <w:p>
      <w:pPr>
        <w:widowControl w:val="0"/>
        <w:snapToGrid w:val="0"/>
        <w:spacing w:line="578" w:lineRule="exact"/>
        <w:contextualSpacing/>
        <w:jc w:val="both"/>
        <w:rPr>
          <w:rFonts w:ascii="仿宋_GB2312" w:hAnsi="楷体" w:eastAsia="仿宋_GB2312"/>
          <w:kern w:val="2"/>
          <w:sz w:val="32"/>
          <w:szCs w:val="32"/>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l2br w:val="nil"/>
              <w:tr2bl w:val="nil"/>
            </w:tcBorders>
            <w:vAlign w:val="center"/>
          </w:tcPr>
          <w:p>
            <w:pPr>
              <w:widowControl w:val="0"/>
              <w:snapToGrid w:val="0"/>
              <w:contextualSpacing/>
              <w:jc w:val="center"/>
              <w:rPr>
                <w:rFonts w:ascii="仿宋_GB2312" w:hAnsi="楷体" w:eastAsia="仿宋_GB2312"/>
                <w:kern w:val="2"/>
                <w:sz w:val="32"/>
                <w:szCs w:val="32"/>
                <w:highlight w:val="yellow"/>
              </w:rPr>
            </w:pPr>
            <w:r>
              <w:rPr>
                <w:rFonts w:ascii="仿宋_GB2312" w:hAnsi="楷体" w:eastAsia="仿宋_GB2312"/>
                <w:kern w:val="2"/>
                <w:sz w:val="32"/>
                <w:szCs w:val="32"/>
              </w:rPr>
              <w:drawing>
                <wp:inline distT="0" distB="0" distL="0" distR="0">
                  <wp:extent cx="1663700" cy="1406525"/>
                  <wp:effectExtent l="0" t="0" r="12700" b="3175"/>
                  <wp:docPr id="1036" name="图片 27" descr="图片6"/>
                  <wp:cNvGraphicFramePr/>
                  <a:graphic xmlns:a="http://schemas.openxmlformats.org/drawingml/2006/main">
                    <a:graphicData uri="http://schemas.openxmlformats.org/drawingml/2006/picture">
                      <pic:pic xmlns:pic="http://schemas.openxmlformats.org/drawingml/2006/picture">
                        <pic:nvPicPr>
                          <pic:cNvPr id="1036" name="图片 27" descr="图片6"/>
                          <pic:cNvPicPr/>
                        </pic:nvPicPr>
                        <pic:blipFill>
                          <a:blip r:embed="rId17" cstate="print"/>
                          <a:srcRect/>
                          <a:stretch>
                            <a:fillRect/>
                          </a:stretch>
                        </pic:blipFill>
                        <pic:spPr>
                          <a:xfrm>
                            <a:off x="0" y="0"/>
                            <a:ext cx="1663700" cy="1406525"/>
                          </a:xfrm>
                          <a:prstGeom prst="rect">
                            <a:avLst/>
                          </a:prstGeom>
                        </pic:spPr>
                      </pic:pic>
                    </a:graphicData>
                  </a:graphic>
                </wp:inline>
              </w:drawing>
            </w:r>
          </w:p>
        </w:tc>
        <w:tc>
          <w:tcPr>
            <w:tcW w:w="2841" w:type="dxa"/>
            <w:tcBorders>
              <w:tl2br w:val="nil"/>
              <w:tr2bl w:val="nil"/>
            </w:tcBorders>
            <w:vAlign w:val="center"/>
          </w:tcPr>
          <w:p>
            <w:pPr>
              <w:widowControl w:val="0"/>
              <w:snapToGrid w:val="0"/>
              <w:contextualSpacing/>
              <w:jc w:val="center"/>
              <w:rPr>
                <w:rFonts w:ascii="仿宋_GB2312" w:hAnsi="楷体" w:eastAsia="仿宋_GB2312"/>
                <w:kern w:val="2"/>
                <w:sz w:val="32"/>
                <w:szCs w:val="32"/>
                <w:highlight w:val="yellow"/>
              </w:rPr>
            </w:pPr>
            <w:r>
              <w:rPr>
                <w:rFonts w:ascii="仿宋_GB2312" w:hAnsi="楷体" w:eastAsia="仿宋_GB2312"/>
                <w:kern w:val="2"/>
                <w:sz w:val="32"/>
                <w:szCs w:val="32"/>
              </w:rPr>
              <w:drawing>
                <wp:inline distT="0" distB="0" distL="0" distR="0">
                  <wp:extent cx="1659255" cy="1398905"/>
                  <wp:effectExtent l="0" t="0" r="17145" b="10795"/>
                  <wp:docPr id="1037" name="图片 30" descr="图片16"/>
                  <wp:cNvGraphicFramePr/>
                  <a:graphic xmlns:a="http://schemas.openxmlformats.org/drawingml/2006/main">
                    <a:graphicData uri="http://schemas.openxmlformats.org/drawingml/2006/picture">
                      <pic:pic xmlns:pic="http://schemas.openxmlformats.org/drawingml/2006/picture">
                        <pic:nvPicPr>
                          <pic:cNvPr id="1037" name="图片 30" descr="图片16"/>
                          <pic:cNvPicPr/>
                        </pic:nvPicPr>
                        <pic:blipFill>
                          <a:blip r:embed="rId18" cstate="print"/>
                          <a:srcRect/>
                          <a:stretch>
                            <a:fillRect/>
                          </a:stretch>
                        </pic:blipFill>
                        <pic:spPr>
                          <a:xfrm>
                            <a:off x="0" y="0"/>
                            <a:ext cx="1659255" cy="1398905"/>
                          </a:xfrm>
                          <a:prstGeom prst="rect">
                            <a:avLst/>
                          </a:prstGeom>
                        </pic:spPr>
                      </pic:pic>
                    </a:graphicData>
                  </a:graphic>
                </wp:inline>
              </w:drawing>
            </w:r>
          </w:p>
        </w:tc>
        <w:tc>
          <w:tcPr>
            <w:tcW w:w="2841" w:type="dxa"/>
            <w:tcBorders>
              <w:tl2br w:val="nil"/>
              <w:tr2bl w:val="nil"/>
            </w:tcBorders>
            <w:vAlign w:val="center"/>
          </w:tcPr>
          <w:p>
            <w:pPr>
              <w:widowControl w:val="0"/>
              <w:snapToGrid w:val="0"/>
              <w:contextualSpacing/>
              <w:jc w:val="center"/>
              <w:rPr>
                <w:rFonts w:ascii="仿宋_GB2312" w:hAnsi="楷体" w:eastAsia="仿宋_GB2312"/>
                <w:kern w:val="2"/>
                <w:sz w:val="32"/>
                <w:szCs w:val="32"/>
                <w:highlight w:val="yellow"/>
              </w:rPr>
            </w:pPr>
            <w:r>
              <w:rPr>
                <w:rFonts w:ascii="仿宋_GB2312" w:hAnsi="楷体" w:eastAsia="仿宋_GB2312"/>
                <w:kern w:val="2"/>
                <w:sz w:val="32"/>
                <w:szCs w:val="32"/>
              </w:rPr>
              <w:drawing>
                <wp:inline distT="0" distB="0" distL="0" distR="0">
                  <wp:extent cx="1644650" cy="1390650"/>
                  <wp:effectExtent l="0" t="0" r="12700" b="0"/>
                  <wp:docPr id="1038" name="图片 31" descr="图片13"/>
                  <wp:cNvGraphicFramePr/>
                  <a:graphic xmlns:a="http://schemas.openxmlformats.org/drawingml/2006/main">
                    <a:graphicData uri="http://schemas.openxmlformats.org/drawingml/2006/picture">
                      <pic:pic xmlns:pic="http://schemas.openxmlformats.org/drawingml/2006/picture">
                        <pic:nvPicPr>
                          <pic:cNvPr id="1038" name="图片 31" descr="图片13"/>
                          <pic:cNvPicPr/>
                        </pic:nvPicPr>
                        <pic:blipFill>
                          <a:blip r:embed="rId19" cstate="print"/>
                          <a:srcRect/>
                          <a:stretch>
                            <a:fillRect/>
                          </a:stretch>
                        </pic:blipFill>
                        <pic:spPr>
                          <a:xfrm>
                            <a:off x="0" y="0"/>
                            <a:ext cx="1644650" cy="13906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l2br w:val="nil"/>
              <w:tr2bl w:val="nil"/>
            </w:tcBorders>
            <w:vAlign w:val="center"/>
          </w:tcPr>
          <w:p>
            <w:pPr>
              <w:widowControl w:val="0"/>
              <w:snapToGrid w:val="0"/>
              <w:contextualSpacing/>
              <w:jc w:val="center"/>
              <w:rPr>
                <w:rFonts w:ascii="黑体" w:hAnsi="黑体" w:eastAsia="黑体" w:cs="黑体"/>
                <w:kern w:val="2"/>
                <w:sz w:val="22"/>
                <w:szCs w:val="22"/>
              </w:rPr>
            </w:pPr>
            <w:r>
              <w:rPr>
                <w:rFonts w:hint="eastAsia" w:ascii="黑体" w:hAnsi="黑体" w:eastAsia="黑体" w:cs="黑体"/>
                <w:kern w:val="2"/>
                <w:sz w:val="22"/>
                <w:szCs w:val="22"/>
              </w:rPr>
              <w:t>0.7g ★★★★★</w:t>
            </w:r>
          </w:p>
        </w:tc>
        <w:tc>
          <w:tcPr>
            <w:tcW w:w="2841" w:type="dxa"/>
            <w:tcBorders>
              <w:tl2br w:val="nil"/>
              <w:tr2bl w:val="nil"/>
            </w:tcBorders>
            <w:vAlign w:val="center"/>
          </w:tcPr>
          <w:p>
            <w:pPr>
              <w:widowControl w:val="0"/>
              <w:snapToGrid w:val="0"/>
              <w:contextualSpacing/>
              <w:jc w:val="center"/>
              <w:rPr>
                <w:rFonts w:ascii="黑体" w:hAnsi="黑体" w:eastAsia="黑体" w:cs="黑体"/>
                <w:kern w:val="2"/>
                <w:sz w:val="22"/>
                <w:szCs w:val="22"/>
              </w:rPr>
            </w:pPr>
            <w:r>
              <w:rPr>
                <w:rFonts w:hint="eastAsia" w:ascii="黑体" w:hAnsi="黑体" w:eastAsia="黑体" w:cs="黑体"/>
                <w:kern w:val="2"/>
                <w:sz w:val="22"/>
                <w:szCs w:val="22"/>
              </w:rPr>
              <w:t>0.8g ★★★★★</w:t>
            </w:r>
          </w:p>
        </w:tc>
        <w:tc>
          <w:tcPr>
            <w:tcW w:w="2841" w:type="dxa"/>
            <w:tcBorders>
              <w:tl2br w:val="nil"/>
              <w:tr2bl w:val="nil"/>
            </w:tcBorders>
            <w:vAlign w:val="center"/>
          </w:tcPr>
          <w:p>
            <w:pPr>
              <w:widowControl w:val="0"/>
              <w:snapToGrid w:val="0"/>
              <w:contextualSpacing/>
              <w:jc w:val="center"/>
              <w:rPr>
                <w:rFonts w:ascii="黑体" w:hAnsi="黑体" w:eastAsia="黑体" w:cs="黑体"/>
                <w:kern w:val="2"/>
                <w:sz w:val="22"/>
                <w:szCs w:val="22"/>
              </w:rPr>
            </w:pPr>
            <w:r>
              <w:rPr>
                <w:rFonts w:hint="eastAsia" w:ascii="黑体" w:hAnsi="黑体" w:eastAsia="黑体" w:cs="黑体"/>
                <w:kern w:val="2"/>
                <w:sz w:val="22"/>
                <w:szCs w:val="22"/>
              </w:rPr>
              <w:t>2.0g ★★★★★</w:t>
            </w:r>
          </w:p>
        </w:tc>
      </w:tr>
    </w:tbl>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（六）膨胀率</w:t>
      </w:r>
    </w:p>
    <w:p>
      <w:pPr>
        <w:widowControl w:val="0"/>
        <w:snapToGrid w:val="0"/>
        <w:spacing w:line="240" w:lineRule="auto"/>
        <w:ind w:firstLine="640" w:firstLineChars="200"/>
        <w:contextualSpacing/>
        <w:jc w:val="center"/>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drawing>
          <wp:inline distT="0" distB="0" distL="0" distR="0">
            <wp:extent cx="4009390" cy="2343150"/>
            <wp:effectExtent l="0" t="0" r="9525" b="0"/>
            <wp:docPr id="1039" name="图片 7" descr="图片6"/>
            <wp:cNvGraphicFramePr/>
            <a:graphic xmlns:a="http://schemas.openxmlformats.org/drawingml/2006/main">
              <a:graphicData uri="http://schemas.openxmlformats.org/drawingml/2006/picture">
                <pic:pic xmlns:pic="http://schemas.openxmlformats.org/drawingml/2006/picture">
                  <pic:nvPicPr>
                    <pic:cNvPr id="1039" name="图片 7" descr="图片6"/>
                    <pic:cNvPicPr/>
                  </pic:nvPicPr>
                  <pic:blipFill>
                    <a:blip r:embed="rId20" cstate="print"/>
                    <a:srcRect/>
                    <a:stretch>
                      <a:fillRect/>
                    </a:stretch>
                  </pic:blipFill>
                  <pic:spPr>
                    <a:xfrm>
                      <a:off x="0" y="0"/>
                      <a:ext cx="4010024" cy="2343150"/>
                    </a:xfrm>
                    <a:prstGeom prst="rect">
                      <a:avLst/>
                    </a:prstGeom>
                  </pic:spPr>
                </pic:pic>
              </a:graphicData>
            </a:graphic>
          </wp:inline>
        </w:drawing>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仿宋_GB2312" w:eastAsia="仿宋_GB2312" w:cs="仿宋_GB2312"/>
          <w:sz w:val="32"/>
        </w:rPr>
        <w:t>国家标准 GB/T 40978-2021《电饭锅》要求粳米的膨胀率在160%至200%范围内，本次测试结果12台电饭煲样品的膨胀率满足标准要求</w:t>
      </w:r>
      <w:r>
        <w:rPr>
          <w:rFonts w:hint="eastAsia" w:ascii="仿宋_GB2312" w:hAnsi="仿宋_GB2312" w:eastAsia="仿宋_GB2312" w:cs="仿宋_GB2312"/>
          <w:kern w:val="2"/>
          <w:sz w:val="32"/>
          <w:szCs w:val="32"/>
        </w:rPr>
        <w:t>；</w:t>
      </w:r>
      <w:r>
        <w:rPr>
          <w:rFonts w:hint="eastAsia" w:ascii="仿宋_GB2312" w:hAnsi="楷体" w:eastAsia="仿宋_GB2312"/>
          <w:kern w:val="2"/>
          <w:sz w:val="32"/>
          <w:szCs w:val="32"/>
        </w:rPr>
        <w:t>“ZOJIRUSHI”牌NS-YSH18C型微电脑电饭煲的测试结果低于160%；3台电饭锅样品的膨胀率测试结果高于200%，其中，“MELING美菱”牌MF-B503E型智能电饭煲的测试结果超过300%。</w:t>
      </w:r>
    </w:p>
    <w:p>
      <w:pPr>
        <w:widowControl w:val="0"/>
        <w:snapToGrid w:val="0"/>
        <w:ind w:firstLine="640" w:firstLineChars="200"/>
        <w:contextualSpacing/>
        <w:jc w:val="both"/>
        <w:rPr>
          <w:rFonts w:ascii="楷体_GB2312" w:hAnsi="楷体_GB2312" w:eastAsia="楷体_GB2312" w:cs="楷体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203200</wp:posOffset>
            </wp:positionH>
            <wp:positionV relativeFrom="paragraph">
              <wp:posOffset>102235</wp:posOffset>
            </wp:positionV>
            <wp:extent cx="5273675" cy="3104515"/>
            <wp:effectExtent l="0" t="0" r="3175" b="635"/>
            <wp:wrapTopAndBottom/>
            <wp:docPr id="1040" name="图片 15" descr="/home/scjgj/Desktop/数据图片11.25/膨胀率.png膨胀率"/>
            <wp:cNvGraphicFramePr/>
            <a:graphic xmlns:a="http://schemas.openxmlformats.org/drawingml/2006/main">
              <a:graphicData uri="http://schemas.openxmlformats.org/drawingml/2006/picture">
                <pic:pic xmlns:pic="http://schemas.openxmlformats.org/drawingml/2006/picture">
                  <pic:nvPicPr>
                    <pic:cNvPr id="1040" name="图片 15" descr="/home/scjgj/Desktop/数据图片11.25/膨胀率.png膨胀率"/>
                    <pic:cNvPicPr/>
                  </pic:nvPicPr>
                  <pic:blipFill>
                    <a:blip r:embed="rId21" cstate="print"/>
                    <a:srcRect t="2444" b="2444"/>
                    <a:stretch>
                      <a:fillRect/>
                    </a:stretch>
                  </pic:blipFill>
                  <pic:spPr>
                    <a:xfrm>
                      <a:off x="0" y="0"/>
                      <a:ext cx="5273675" cy="3104515"/>
                    </a:xfrm>
                    <a:prstGeom prst="rect">
                      <a:avLst/>
                    </a:prstGeom>
                  </pic:spPr>
                </pic:pic>
              </a:graphicData>
            </a:graphic>
          </wp:anchor>
        </w:drawing>
      </w:r>
      <w:r>
        <w:rPr>
          <w:rFonts w:hint="eastAsia" w:ascii="楷体_GB2312" w:hAnsi="楷体_GB2312" w:eastAsia="楷体_GB2312" w:cs="楷体_GB2312"/>
          <w:kern w:val="2"/>
          <w:sz w:val="32"/>
          <w:szCs w:val="32"/>
        </w:rPr>
        <w:t>（七）水分偏差</w:t>
      </w:r>
    </w:p>
    <w:p>
      <w:pPr>
        <w:widowControl w:val="0"/>
        <w:snapToGrid w:val="0"/>
        <w:spacing w:line="240" w:lineRule="auto"/>
        <w:ind w:firstLine="640" w:firstLineChars="200"/>
        <w:contextualSpacing/>
        <w:jc w:val="center"/>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drawing>
          <wp:inline distT="0" distB="0" distL="0" distR="0">
            <wp:extent cx="4009390" cy="2714625"/>
            <wp:effectExtent l="0" t="0" r="9525" b="9525"/>
            <wp:docPr id="1041" name="图片 6" descr="图片7"/>
            <wp:cNvGraphicFramePr/>
            <a:graphic xmlns:a="http://schemas.openxmlformats.org/drawingml/2006/main">
              <a:graphicData uri="http://schemas.openxmlformats.org/drawingml/2006/picture">
                <pic:pic xmlns:pic="http://schemas.openxmlformats.org/drawingml/2006/picture">
                  <pic:nvPicPr>
                    <pic:cNvPr id="1041" name="图片 6" descr="图片7"/>
                    <pic:cNvPicPr/>
                  </pic:nvPicPr>
                  <pic:blipFill>
                    <a:blip r:embed="rId22" cstate="print"/>
                    <a:srcRect/>
                    <a:stretch>
                      <a:fillRect/>
                    </a:stretch>
                  </pic:blipFill>
                  <pic:spPr>
                    <a:xfrm>
                      <a:off x="0" y="0"/>
                      <a:ext cx="4010024" cy="2714625"/>
                    </a:xfrm>
                    <a:prstGeom prst="rect">
                      <a:avLst/>
                    </a:prstGeom>
                  </pic:spPr>
                </pic:pic>
              </a:graphicData>
            </a:graphic>
          </wp:inline>
        </w:drawing>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仿宋_GB2312" w:eastAsia="仿宋_GB2312" w:cs="仿宋_GB2312"/>
          <w:sz w:val="32"/>
        </w:rPr>
        <w:t>国家标准 GB/T 40978-2021《电饭锅》要求粳米的水分偏差≤10%，本次测试结果16台电饭煲样品的水分偏差均满足</w:t>
      </w:r>
      <w:r>
        <w:rPr>
          <w:rFonts w:hint="eastAsia" w:ascii="仿宋_GB2312" w:hAnsi="仿宋_GB2312" w:eastAsia="仿宋_GB2312" w:cs="仿宋_GB2312"/>
          <w:kern w:val="2"/>
          <w:sz w:val="32"/>
          <w:szCs w:val="32"/>
        </w:rPr>
        <w:t>标准要求。</w:t>
      </w:r>
      <w:bookmarkStart w:id="1" w:name="_Hlk170375249"/>
      <w:r>
        <w:rPr>
          <w:rFonts w:hint="eastAsia" w:ascii="仿宋_GB2312" w:hAnsi="楷体" w:eastAsia="仿宋_GB2312"/>
          <w:kern w:val="2"/>
          <w:sz w:val="32"/>
          <w:szCs w:val="32"/>
        </w:rPr>
        <w:t>其中，“SKYWORTH”牌F809型微电脑电饭煲、“TIGER”牌JAX-C18C型电饭煲、“SUPOR”牌SF50FC375型豪华智能电饭煲、“ASD爱仕达”牌AR-F50E918型微电脑电饭煲、“Haier”牌HRC-F5292N型微电脑电饭煲、“Joyoung九阳”牌F50FY-F575型微电脑智能电饭煲的测试结果最好，达到了5%以内。</w:t>
      </w:r>
    </w:p>
    <w:bookmarkEnd w:id="1"/>
    <w:tbl>
      <w:tblPr>
        <w:tblStyle w:val="20"/>
        <w:tblpPr w:leftFromText="180" w:rightFromText="180" w:vertAnchor="text" w:horzAnchor="page" w:tblpXSpec="center" w:tblpY="87"/>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0"/>
        <w:gridCol w:w="2821"/>
        <w:gridCol w:w="28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2" w:hRule="atLeast"/>
          <w:jc w:val="center"/>
        </w:trPr>
        <w:tc>
          <w:tcPr>
            <w:tcW w:w="2850" w:type="dxa"/>
          </w:tcPr>
          <w:p>
            <w:pPr>
              <w:widowControl w:val="0"/>
              <w:snapToGrid w:val="0"/>
              <w:contextualSpacing/>
              <w:jc w:val="center"/>
              <w:rPr>
                <w:rFonts w:ascii="仿宋_GB2312" w:hAnsi="楷体" w:eastAsia="仿宋_GB2312"/>
                <w:kern w:val="2"/>
                <w:sz w:val="22"/>
                <w:szCs w:val="22"/>
              </w:rPr>
            </w:pPr>
            <w:r>
              <w:rPr>
                <w:rFonts w:hint="eastAsia" w:ascii="仿宋_GB2312" w:hAnsi="楷体" w:eastAsia="仿宋_GB2312"/>
                <w:kern w:val="2"/>
                <w:sz w:val="22"/>
                <w:szCs w:val="22"/>
              </w:rPr>
              <w:drawing>
                <wp:inline distT="0" distB="0" distL="0" distR="0">
                  <wp:extent cx="1670685" cy="1400175"/>
                  <wp:effectExtent l="0" t="0" r="5715" b="9525"/>
                  <wp:docPr id="1042" name="图片 44" descr="图片3"/>
                  <wp:cNvGraphicFramePr/>
                  <a:graphic xmlns:a="http://schemas.openxmlformats.org/drawingml/2006/main">
                    <a:graphicData uri="http://schemas.openxmlformats.org/drawingml/2006/picture">
                      <pic:pic xmlns:pic="http://schemas.openxmlformats.org/drawingml/2006/picture">
                        <pic:nvPicPr>
                          <pic:cNvPr id="1042" name="图片 44" descr="图片3"/>
                          <pic:cNvPicPr/>
                        </pic:nvPicPr>
                        <pic:blipFill>
                          <a:blip r:embed="rId23" cstate="print"/>
                          <a:srcRect/>
                          <a:stretch>
                            <a:fillRect/>
                          </a:stretch>
                        </pic:blipFill>
                        <pic:spPr>
                          <a:xfrm>
                            <a:off x="0" y="0"/>
                            <a:ext cx="1670685" cy="1400175"/>
                          </a:xfrm>
                          <a:prstGeom prst="rect">
                            <a:avLst/>
                          </a:prstGeom>
                        </pic:spPr>
                      </pic:pic>
                    </a:graphicData>
                  </a:graphic>
                </wp:inline>
              </w:drawing>
            </w:r>
          </w:p>
        </w:tc>
        <w:tc>
          <w:tcPr>
            <w:tcW w:w="2821" w:type="dxa"/>
          </w:tcPr>
          <w:p>
            <w:pPr>
              <w:widowControl w:val="0"/>
              <w:snapToGrid w:val="0"/>
              <w:contextualSpacing/>
              <w:jc w:val="center"/>
              <w:rPr>
                <w:rFonts w:ascii="仿宋_GB2312" w:hAnsi="楷体" w:eastAsia="仿宋_GB2312"/>
                <w:kern w:val="2"/>
                <w:sz w:val="22"/>
                <w:szCs w:val="22"/>
              </w:rPr>
            </w:pPr>
            <w:r>
              <w:rPr>
                <w:rFonts w:hint="eastAsia" w:ascii="仿宋_GB2312" w:hAnsi="楷体" w:eastAsia="仿宋_GB2312"/>
                <w:kern w:val="2"/>
                <w:sz w:val="22"/>
                <w:szCs w:val="22"/>
              </w:rPr>
              <w:drawing>
                <wp:inline distT="0" distB="0" distL="0" distR="0">
                  <wp:extent cx="1653540" cy="1387475"/>
                  <wp:effectExtent l="0" t="0" r="3810" b="3175"/>
                  <wp:docPr id="1043" name="图片 46" descr="图片5"/>
                  <wp:cNvGraphicFramePr/>
                  <a:graphic xmlns:a="http://schemas.openxmlformats.org/drawingml/2006/main">
                    <a:graphicData uri="http://schemas.openxmlformats.org/drawingml/2006/picture">
                      <pic:pic xmlns:pic="http://schemas.openxmlformats.org/drawingml/2006/picture">
                        <pic:nvPicPr>
                          <pic:cNvPr id="1043" name="图片 46" descr="图片5"/>
                          <pic:cNvPicPr/>
                        </pic:nvPicPr>
                        <pic:blipFill>
                          <a:blip r:embed="rId24" cstate="print"/>
                          <a:srcRect/>
                          <a:stretch>
                            <a:fillRect/>
                          </a:stretch>
                        </pic:blipFill>
                        <pic:spPr>
                          <a:xfrm>
                            <a:off x="0" y="0"/>
                            <a:ext cx="1653540" cy="1387475"/>
                          </a:xfrm>
                          <a:prstGeom prst="rect">
                            <a:avLst/>
                          </a:prstGeom>
                        </pic:spPr>
                      </pic:pic>
                    </a:graphicData>
                  </a:graphic>
                </wp:inline>
              </w:drawing>
            </w:r>
          </w:p>
        </w:tc>
        <w:tc>
          <w:tcPr>
            <w:tcW w:w="2851" w:type="dxa"/>
          </w:tcPr>
          <w:p>
            <w:pPr>
              <w:widowControl w:val="0"/>
              <w:snapToGrid w:val="0"/>
              <w:contextualSpacing/>
              <w:jc w:val="center"/>
              <w:rPr>
                <w:rFonts w:ascii="仿宋_GB2312" w:hAnsi="楷体" w:eastAsia="仿宋_GB2312"/>
                <w:kern w:val="2"/>
                <w:sz w:val="22"/>
                <w:szCs w:val="22"/>
              </w:rPr>
            </w:pPr>
            <w:r>
              <w:rPr>
                <w:rFonts w:hint="eastAsia" w:ascii="仿宋_GB2312" w:hAnsi="楷体" w:eastAsia="仿宋_GB2312"/>
                <w:kern w:val="2"/>
                <w:sz w:val="22"/>
                <w:szCs w:val="22"/>
              </w:rPr>
              <w:drawing>
                <wp:inline distT="0" distB="0" distL="0" distR="0">
                  <wp:extent cx="1668780" cy="1400175"/>
                  <wp:effectExtent l="0" t="0" r="7620" b="9525"/>
                  <wp:docPr id="1044" name="图片 45" descr="图片4"/>
                  <wp:cNvGraphicFramePr/>
                  <a:graphic xmlns:a="http://schemas.openxmlformats.org/drawingml/2006/main">
                    <a:graphicData uri="http://schemas.openxmlformats.org/drawingml/2006/picture">
                      <pic:pic xmlns:pic="http://schemas.openxmlformats.org/drawingml/2006/picture">
                        <pic:nvPicPr>
                          <pic:cNvPr id="1044" name="图片 45" descr="图片4"/>
                          <pic:cNvPicPr/>
                        </pic:nvPicPr>
                        <pic:blipFill>
                          <a:blip r:embed="rId25" cstate="print"/>
                          <a:srcRect/>
                          <a:stretch>
                            <a:fillRect/>
                          </a:stretch>
                        </pic:blipFill>
                        <pic:spPr>
                          <a:xfrm>
                            <a:off x="0" y="0"/>
                            <a:ext cx="1668780" cy="14001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1" w:hRule="atLeast"/>
          <w:jc w:val="center"/>
        </w:trPr>
        <w:tc>
          <w:tcPr>
            <w:tcW w:w="2850" w:type="dxa"/>
          </w:tcPr>
          <w:p>
            <w:pPr>
              <w:widowControl w:val="0"/>
              <w:snapToGrid w:val="0"/>
              <w:contextualSpacing/>
              <w:jc w:val="center"/>
              <w:rPr>
                <w:rFonts w:ascii="仿宋_GB2312" w:hAnsi="楷体" w:eastAsia="仿宋_GB2312"/>
                <w:kern w:val="2"/>
                <w:sz w:val="22"/>
                <w:szCs w:val="22"/>
              </w:rPr>
            </w:pPr>
            <w:r>
              <w:rPr>
                <w:rFonts w:hint="eastAsia" w:ascii="仿宋_GB2312" w:hAnsi="楷体" w:eastAsia="仿宋_GB2312"/>
                <w:kern w:val="2"/>
                <w:sz w:val="22"/>
                <w:szCs w:val="22"/>
              </w:rPr>
              <w:drawing>
                <wp:inline distT="0" distB="0" distL="0" distR="0">
                  <wp:extent cx="1668780" cy="1398270"/>
                  <wp:effectExtent l="0" t="0" r="7620" b="11430"/>
                  <wp:docPr id="1045" name="图片 33" descr="图片1"/>
                  <wp:cNvGraphicFramePr/>
                  <a:graphic xmlns:a="http://schemas.openxmlformats.org/drawingml/2006/main">
                    <a:graphicData uri="http://schemas.openxmlformats.org/drawingml/2006/picture">
                      <pic:pic xmlns:pic="http://schemas.openxmlformats.org/drawingml/2006/picture">
                        <pic:nvPicPr>
                          <pic:cNvPr id="1045" name="图片 33" descr="图片1"/>
                          <pic:cNvPicPr/>
                        </pic:nvPicPr>
                        <pic:blipFill>
                          <a:blip r:embed="rId26" cstate="print"/>
                          <a:srcRect/>
                          <a:stretch>
                            <a:fillRect/>
                          </a:stretch>
                        </pic:blipFill>
                        <pic:spPr>
                          <a:xfrm>
                            <a:off x="0" y="0"/>
                            <a:ext cx="1668780" cy="1398270"/>
                          </a:xfrm>
                          <a:prstGeom prst="rect">
                            <a:avLst/>
                          </a:prstGeom>
                        </pic:spPr>
                      </pic:pic>
                    </a:graphicData>
                  </a:graphic>
                </wp:inline>
              </w:drawing>
            </w:r>
          </w:p>
        </w:tc>
        <w:tc>
          <w:tcPr>
            <w:tcW w:w="2821" w:type="dxa"/>
          </w:tcPr>
          <w:p>
            <w:pPr>
              <w:widowControl w:val="0"/>
              <w:snapToGrid w:val="0"/>
              <w:contextualSpacing/>
              <w:jc w:val="center"/>
              <w:rPr>
                <w:rFonts w:ascii="仿宋_GB2312" w:hAnsi="楷体" w:eastAsia="仿宋_GB2312"/>
                <w:kern w:val="2"/>
                <w:sz w:val="22"/>
                <w:szCs w:val="22"/>
              </w:rPr>
            </w:pPr>
            <w:r>
              <w:rPr>
                <w:rFonts w:hint="eastAsia" w:ascii="仿宋_GB2312" w:hAnsi="楷体" w:eastAsia="仿宋_GB2312"/>
                <w:kern w:val="2"/>
                <w:sz w:val="22"/>
                <w:szCs w:val="22"/>
              </w:rPr>
              <w:drawing>
                <wp:inline distT="0" distB="0" distL="0" distR="0">
                  <wp:extent cx="1653540" cy="1385570"/>
                  <wp:effectExtent l="0" t="0" r="3810" b="5080"/>
                  <wp:docPr id="1046" name="图片 43" descr="图片2"/>
                  <wp:cNvGraphicFramePr/>
                  <a:graphic xmlns:a="http://schemas.openxmlformats.org/drawingml/2006/main">
                    <a:graphicData uri="http://schemas.openxmlformats.org/drawingml/2006/picture">
                      <pic:pic xmlns:pic="http://schemas.openxmlformats.org/drawingml/2006/picture">
                        <pic:nvPicPr>
                          <pic:cNvPr id="1046" name="图片 43" descr="图片2"/>
                          <pic:cNvPicPr/>
                        </pic:nvPicPr>
                        <pic:blipFill>
                          <a:blip r:embed="rId27" cstate="print"/>
                          <a:srcRect/>
                          <a:stretch>
                            <a:fillRect/>
                          </a:stretch>
                        </pic:blipFill>
                        <pic:spPr>
                          <a:xfrm>
                            <a:off x="0" y="0"/>
                            <a:ext cx="1653540" cy="1385570"/>
                          </a:xfrm>
                          <a:prstGeom prst="rect">
                            <a:avLst/>
                          </a:prstGeom>
                        </pic:spPr>
                      </pic:pic>
                    </a:graphicData>
                  </a:graphic>
                </wp:inline>
              </w:drawing>
            </w:r>
          </w:p>
        </w:tc>
        <w:tc>
          <w:tcPr>
            <w:tcW w:w="2851" w:type="dxa"/>
          </w:tcPr>
          <w:p>
            <w:pPr>
              <w:widowControl w:val="0"/>
              <w:snapToGrid w:val="0"/>
              <w:contextualSpacing/>
              <w:jc w:val="center"/>
              <w:rPr>
                <w:rFonts w:ascii="仿宋_GB2312" w:hAnsi="楷体" w:eastAsia="仿宋_GB2312"/>
                <w:kern w:val="2"/>
                <w:sz w:val="22"/>
                <w:szCs w:val="22"/>
              </w:rPr>
            </w:pPr>
            <w:r>
              <w:rPr>
                <w:rFonts w:hint="eastAsia" w:ascii="仿宋_GB2312" w:hAnsi="楷体" w:eastAsia="仿宋_GB2312"/>
                <w:kern w:val="2"/>
                <w:sz w:val="22"/>
                <w:szCs w:val="22"/>
              </w:rPr>
              <w:drawing>
                <wp:inline distT="0" distB="0" distL="0" distR="0">
                  <wp:extent cx="1668780" cy="1398270"/>
                  <wp:effectExtent l="0" t="0" r="7620" b="11430"/>
                  <wp:docPr id="1047" name="图片 47" descr="图片6"/>
                  <wp:cNvGraphicFramePr/>
                  <a:graphic xmlns:a="http://schemas.openxmlformats.org/drawingml/2006/main">
                    <a:graphicData uri="http://schemas.openxmlformats.org/drawingml/2006/picture">
                      <pic:pic xmlns:pic="http://schemas.openxmlformats.org/drawingml/2006/picture">
                        <pic:nvPicPr>
                          <pic:cNvPr id="1047" name="图片 47" descr="图片6"/>
                          <pic:cNvPicPr/>
                        </pic:nvPicPr>
                        <pic:blipFill>
                          <a:blip r:embed="rId28" cstate="print"/>
                          <a:srcRect/>
                          <a:stretch>
                            <a:fillRect/>
                          </a:stretch>
                        </pic:blipFill>
                        <pic:spPr>
                          <a:xfrm>
                            <a:off x="0" y="0"/>
                            <a:ext cx="1668780" cy="1398270"/>
                          </a:xfrm>
                          <a:prstGeom prst="rect">
                            <a:avLst/>
                          </a:prstGeom>
                        </pic:spPr>
                      </pic:pic>
                    </a:graphicData>
                  </a:graphic>
                </wp:inline>
              </w:drawing>
            </w:r>
          </w:p>
        </w:tc>
      </w:tr>
    </w:tbl>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（八）含水率</w:t>
      </w:r>
    </w:p>
    <w:p>
      <w:pPr>
        <w:widowControl w:val="0"/>
        <w:snapToGrid w:val="0"/>
        <w:spacing w:line="240" w:lineRule="auto"/>
        <w:ind w:firstLine="640" w:firstLineChars="200"/>
        <w:contextualSpacing/>
        <w:jc w:val="center"/>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drawing>
          <wp:inline distT="0" distB="0" distL="0" distR="0">
            <wp:extent cx="4009390" cy="2018665"/>
            <wp:effectExtent l="0" t="0" r="9525" b="0"/>
            <wp:docPr id="1048" name="图片 5" descr="图片8"/>
            <wp:cNvGraphicFramePr/>
            <a:graphic xmlns:a="http://schemas.openxmlformats.org/drawingml/2006/main">
              <a:graphicData uri="http://schemas.openxmlformats.org/drawingml/2006/picture">
                <pic:pic xmlns:pic="http://schemas.openxmlformats.org/drawingml/2006/picture">
                  <pic:nvPicPr>
                    <pic:cNvPr id="1048" name="图片 5" descr="图片8"/>
                    <pic:cNvPicPr/>
                  </pic:nvPicPr>
                  <pic:blipFill>
                    <a:blip r:embed="rId29" cstate="print"/>
                    <a:srcRect/>
                    <a:stretch>
                      <a:fillRect/>
                    </a:stretch>
                  </pic:blipFill>
                  <pic:spPr>
                    <a:xfrm>
                      <a:off x="0" y="0"/>
                      <a:ext cx="4010024" cy="2019299"/>
                    </a:xfrm>
                    <a:prstGeom prst="rect">
                      <a:avLst/>
                    </a:prstGeom>
                  </pic:spPr>
                </pic:pic>
              </a:graphicData>
            </a:graphic>
          </wp:inline>
        </w:drawing>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仿宋_GB2312" w:eastAsia="仿宋_GB2312" w:cs="仿宋_GB2312"/>
          <w:sz w:val="32"/>
        </w:rPr>
        <w:t>国家标准 GB/T 40978-2021《电饭锅》要求粳米的含水率在60%至64%范围内，本次测试结果13台电饭煲样品的含水率满足标准要求</w:t>
      </w:r>
      <w:r>
        <w:rPr>
          <w:rFonts w:hint="eastAsia" w:ascii="仿宋_GB2312" w:hAnsi="仿宋_GB2312" w:eastAsia="仿宋_GB2312" w:cs="仿宋_GB2312"/>
          <w:kern w:val="2"/>
          <w:sz w:val="32"/>
          <w:szCs w:val="32"/>
        </w:rPr>
        <w:t>；3台电饭煲的测试结果大于64%，其中，“MELING</w:t>
      </w:r>
      <w:r>
        <w:rPr>
          <w:rFonts w:hint="eastAsia" w:ascii="仿宋_GB2312" w:hAnsi="楷体" w:eastAsia="仿宋_GB2312"/>
          <w:kern w:val="2"/>
          <w:sz w:val="32"/>
          <w:szCs w:val="32"/>
        </w:rPr>
        <w:t>美菱”牌MF-B503E型智能电饭煲的测试结果超过75%。</w:t>
      </w:r>
    </w:p>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3175</wp:posOffset>
            </wp:positionH>
            <wp:positionV relativeFrom="paragraph">
              <wp:posOffset>71755</wp:posOffset>
            </wp:positionV>
            <wp:extent cx="5267960" cy="3619500"/>
            <wp:effectExtent l="0" t="0" r="0" b="0"/>
            <wp:wrapTopAndBottom/>
            <wp:docPr id="1049" name="图片 48" descr="/home/scjgj/Desktop/数据图片11.25/含水率.png含水率"/>
            <wp:cNvGraphicFramePr/>
            <a:graphic xmlns:a="http://schemas.openxmlformats.org/drawingml/2006/main">
              <a:graphicData uri="http://schemas.openxmlformats.org/drawingml/2006/picture">
                <pic:pic xmlns:pic="http://schemas.openxmlformats.org/drawingml/2006/picture">
                  <pic:nvPicPr>
                    <pic:cNvPr id="1049" name="图片 48" descr="/home/scjgj/Desktop/数据图片11.25/含水率.png含水率"/>
                    <pic:cNvPicPr/>
                  </pic:nvPicPr>
                  <pic:blipFill>
                    <a:blip r:embed="rId30" cstate="print"/>
                    <a:srcRect t="1649" b="1564"/>
                    <a:stretch>
                      <a:fillRect/>
                    </a:stretch>
                  </pic:blipFill>
                  <pic:spPr>
                    <a:xfrm>
                      <a:off x="0" y="0"/>
                      <a:ext cx="5267960" cy="3619500"/>
                    </a:xfrm>
                    <a:prstGeom prst="rect">
                      <a:avLst/>
                    </a:prstGeom>
                  </pic:spPr>
                </pic:pic>
              </a:graphicData>
            </a:graphic>
          </wp:anchor>
        </w:drawing>
      </w:r>
      <w:r>
        <w:rPr>
          <w:rFonts w:hint="eastAsia" w:ascii="楷体_GB2312" w:hAnsi="楷体_GB2312" w:eastAsia="楷体_GB2312" w:cs="楷体_GB2312"/>
          <w:kern w:val="2"/>
          <w:sz w:val="32"/>
          <w:szCs w:val="32"/>
        </w:rPr>
        <w:t>（九）还原糖</w:t>
      </w:r>
    </w:p>
    <w:p>
      <w:pPr>
        <w:widowControl w:val="0"/>
        <w:snapToGrid w:val="0"/>
        <w:spacing w:line="240" w:lineRule="auto"/>
        <w:ind w:firstLine="640" w:firstLineChars="200"/>
        <w:contextualSpacing/>
        <w:jc w:val="center"/>
        <w:rPr>
          <w:rFonts w:hint="eastAsia" w:ascii="仿宋_GB2312" w:hAnsi="仿宋_GB2312" w:eastAsia="仿宋_GB2312" w:cs="仿宋_GB2312"/>
          <w:sz w:val="32"/>
        </w:rPr>
      </w:pPr>
      <w:r>
        <w:rPr>
          <w:rFonts w:hint="eastAsia" w:ascii="仿宋_GB2312" w:hAnsi="仿宋_GB2312" w:eastAsia="仿宋_GB2312" w:cs="仿宋_GB2312"/>
          <w:sz w:val="32"/>
        </w:rPr>
        <w:drawing>
          <wp:inline distT="0" distB="0" distL="0" distR="0">
            <wp:extent cx="4009390" cy="2018665"/>
            <wp:effectExtent l="0" t="0" r="9525" b="0"/>
            <wp:docPr id="1050" name="图片 4" descr="图片9"/>
            <wp:cNvGraphicFramePr/>
            <a:graphic xmlns:a="http://schemas.openxmlformats.org/drawingml/2006/main">
              <a:graphicData uri="http://schemas.openxmlformats.org/drawingml/2006/picture">
                <pic:pic xmlns:pic="http://schemas.openxmlformats.org/drawingml/2006/picture">
                  <pic:nvPicPr>
                    <pic:cNvPr id="1050" name="图片 4" descr="图片9"/>
                    <pic:cNvPicPr/>
                  </pic:nvPicPr>
                  <pic:blipFill>
                    <a:blip r:embed="rId31" cstate="print"/>
                    <a:srcRect/>
                    <a:stretch>
                      <a:fillRect/>
                    </a:stretch>
                  </pic:blipFill>
                  <pic:spPr>
                    <a:xfrm>
                      <a:off x="0" y="0"/>
                      <a:ext cx="4010024" cy="2019299"/>
                    </a:xfrm>
                    <a:prstGeom prst="rect">
                      <a:avLst/>
                    </a:prstGeom>
                  </pic:spPr>
                </pic:pic>
              </a:graphicData>
            </a:graphic>
          </wp:inline>
        </w:drawing>
      </w:r>
    </w:p>
    <w:p>
      <w:pPr>
        <w:widowControl w:val="0"/>
        <w:snapToGrid w:val="0"/>
        <w:spacing w:line="578" w:lineRule="exact"/>
        <w:ind w:firstLine="640" w:firstLineChars="200"/>
        <w:contextualSpacing/>
        <w:jc w:val="both"/>
        <w:rPr>
          <w:rFonts w:hint="eastAsia" w:ascii="仿宋_GB2312" w:hAnsi="楷体" w:eastAsia="仿宋_GB2312"/>
          <w:kern w:val="2"/>
          <w:sz w:val="32"/>
          <w:szCs w:val="32"/>
        </w:rPr>
      </w:pPr>
      <w:r>
        <w:rPr>
          <w:rFonts w:hint="eastAsia" w:ascii="仿宋_GB2312" w:hAnsi="楷体" w:eastAsia="仿宋_GB2312"/>
          <w:kern w:val="2"/>
          <w:sz w:val="32"/>
          <w:szCs w:val="32"/>
        </w:rPr>
        <w:t>国家标准 GB/T 40978-2021《电饭锅》要求粳米的还原糖≥0.4mg/g，本次测试结果12台电饭煲样品的还原糖满足标准要求。其中，“ZOJIRUSHI”牌NS-YSH18C型微电脑电饭煲和“TIGER”牌JAX-C18C型电饭煲的测试结果最好，达到0.5 mg/g以上。4台电饭煲样品还原糖的测试结果低于0.4mg/g。</w:t>
      </w:r>
    </w:p>
    <w:p>
      <w:pPr>
        <w:widowControl w:val="0"/>
        <w:snapToGrid w:val="0"/>
        <w:ind w:firstLine="640" w:firstLineChars="200"/>
        <w:contextualSpacing/>
        <w:jc w:val="center"/>
        <w:rPr>
          <w:rFonts w:ascii="仿宋_GB2312" w:hAnsi="楷体" w:eastAsia="仿宋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6985</wp:posOffset>
            </wp:positionH>
            <wp:positionV relativeFrom="paragraph">
              <wp:posOffset>-588645</wp:posOffset>
            </wp:positionV>
            <wp:extent cx="5789930" cy="2656205"/>
            <wp:effectExtent l="0" t="0" r="1270" b="10795"/>
            <wp:wrapTopAndBottom/>
            <wp:docPr id="1051" name="图片 52" descr="/home/scjgj/Desktop/数据图片11.25/还原糖.png还原糖"/>
            <wp:cNvGraphicFramePr/>
            <a:graphic xmlns:a="http://schemas.openxmlformats.org/drawingml/2006/main">
              <a:graphicData uri="http://schemas.openxmlformats.org/drawingml/2006/picture">
                <pic:pic xmlns:pic="http://schemas.openxmlformats.org/drawingml/2006/picture">
                  <pic:nvPicPr>
                    <pic:cNvPr id="1051" name="图片 52" descr="/home/scjgj/Desktop/数据图片11.25/还原糖.png还原糖"/>
                    <pic:cNvPicPr/>
                  </pic:nvPicPr>
                  <pic:blipFill>
                    <a:blip r:embed="rId32" cstate="print"/>
                    <a:srcRect l="73" r="73"/>
                    <a:stretch>
                      <a:fillRect/>
                    </a:stretch>
                  </pic:blipFill>
                  <pic:spPr>
                    <a:xfrm>
                      <a:off x="0" y="0"/>
                      <a:ext cx="5789930" cy="2656205"/>
                    </a:xfrm>
                    <a:prstGeom prst="rect">
                      <a:avLst/>
                    </a:prstGeom>
                  </pic:spPr>
                </pic:pic>
              </a:graphicData>
            </a:graphic>
          </wp:anchor>
        </w:drawing>
      </w:r>
    </w:p>
    <w:p>
      <w:pPr>
        <w:widowControl w:val="0"/>
        <w:snapToGrid w:val="0"/>
        <w:spacing w:line="578" w:lineRule="exact"/>
        <w:contextualSpacing/>
        <w:jc w:val="both"/>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（十）糊化度</w:t>
      </w:r>
    </w:p>
    <w:p>
      <w:pPr>
        <w:widowControl w:val="0"/>
        <w:snapToGrid w:val="0"/>
        <w:spacing w:line="240" w:lineRule="auto"/>
        <w:ind w:firstLine="640" w:firstLineChars="200"/>
        <w:contextualSpacing/>
        <w:jc w:val="center"/>
        <w:rPr>
          <w:rFonts w:hint="eastAsia" w:ascii="仿宋_GB2312" w:hAnsi="楷体" w:eastAsia="仿宋_GB2312"/>
          <w:kern w:val="2"/>
          <w:sz w:val="32"/>
          <w:szCs w:val="32"/>
        </w:rPr>
      </w:pPr>
      <w:r>
        <w:rPr>
          <w:rFonts w:hint="eastAsia" w:ascii="仿宋_GB2312" w:hAnsi="楷体" w:eastAsia="仿宋_GB2312"/>
          <w:kern w:val="2"/>
          <w:sz w:val="32"/>
          <w:szCs w:val="32"/>
        </w:rPr>
        <w:drawing>
          <wp:inline distT="0" distB="0" distL="0" distR="0">
            <wp:extent cx="4009390" cy="2476500"/>
            <wp:effectExtent l="0" t="0" r="9525" b="0"/>
            <wp:docPr id="1052" name="图片 1" descr="图片10"/>
            <wp:cNvGraphicFramePr/>
            <a:graphic xmlns:a="http://schemas.openxmlformats.org/drawingml/2006/main">
              <a:graphicData uri="http://schemas.openxmlformats.org/drawingml/2006/picture">
                <pic:pic xmlns:pic="http://schemas.openxmlformats.org/drawingml/2006/picture">
                  <pic:nvPicPr>
                    <pic:cNvPr id="1052" name="图片 1" descr="图片10"/>
                    <pic:cNvPicPr/>
                  </pic:nvPicPr>
                  <pic:blipFill>
                    <a:blip r:embed="rId33" cstate="print"/>
                    <a:srcRect/>
                    <a:stretch>
                      <a:fillRect/>
                    </a:stretch>
                  </pic:blipFill>
                  <pic:spPr>
                    <a:xfrm>
                      <a:off x="0" y="0"/>
                      <a:ext cx="4010024" cy="2476500"/>
                    </a:xfrm>
                    <a:prstGeom prst="rect">
                      <a:avLst/>
                    </a:prstGeom>
                  </pic:spPr>
                </pic:pic>
              </a:graphicData>
            </a:graphic>
          </wp:inline>
        </w:drawing>
      </w:r>
    </w:p>
    <w:p>
      <w:pPr>
        <w:widowControl w:val="0"/>
        <w:snapToGrid w:val="0"/>
        <w:spacing w:line="578" w:lineRule="exact"/>
        <w:ind w:firstLine="640" w:firstLineChars="200"/>
        <w:contextualSpacing/>
        <w:jc w:val="both"/>
        <w:rPr>
          <w:rFonts w:hint="eastAsia" w:ascii="仿宋_GB2312" w:hAnsi="楷体" w:eastAsia="仿宋_GB2312"/>
          <w:kern w:val="2"/>
          <w:sz w:val="32"/>
          <w:szCs w:val="32"/>
        </w:rPr>
      </w:pPr>
      <w:r>
        <w:rPr>
          <w:rFonts w:hint="eastAsia" w:ascii="仿宋_GB2312" w:hAnsi="楷体" w:eastAsia="仿宋_GB2312"/>
          <w:kern w:val="2"/>
          <w:sz w:val="32"/>
          <w:szCs w:val="32"/>
        </w:rPr>
        <w:t>国家标准 GB/T 40978-2021《电饭锅》要求粳米的糊化度≥90%，本次测试结果11台电饭煲样品的糊化度满足标准要求；5台电饭煲样品的糊化度结果低于90%，其中，“雅乐思Rnice”牌YF50-M16型多功能电饭煲的测试结果低于85%。</w:t>
      </w:r>
    </w:p>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-141605</wp:posOffset>
            </wp:positionH>
            <wp:positionV relativeFrom="paragraph">
              <wp:posOffset>189230</wp:posOffset>
            </wp:positionV>
            <wp:extent cx="5558155" cy="3245485"/>
            <wp:effectExtent l="0" t="0" r="4445" b="5715"/>
            <wp:wrapTopAndBottom/>
            <wp:docPr id="1053" name="图片 53" descr="/home/scjgj/Desktop/数据图片11.25/糊化度.png糊化度"/>
            <wp:cNvGraphicFramePr/>
            <a:graphic xmlns:a="http://schemas.openxmlformats.org/drawingml/2006/main">
              <a:graphicData uri="http://schemas.openxmlformats.org/drawingml/2006/picture">
                <pic:pic xmlns:pic="http://schemas.openxmlformats.org/drawingml/2006/picture">
                  <pic:nvPicPr>
                    <pic:cNvPr id="1053" name="图片 53" descr="/home/scjgj/Desktop/数据图片11.25/糊化度.png糊化度"/>
                    <pic:cNvPicPr/>
                  </pic:nvPicPr>
                  <pic:blipFill>
                    <a:blip r:embed="rId34" cstate="print"/>
                    <a:srcRect t="127" b="127"/>
                    <a:stretch>
                      <a:fillRect/>
                    </a:stretch>
                  </pic:blipFill>
                  <pic:spPr>
                    <a:xfrm>
                      <a:off x="0" y="0"/>
                      <a:ext cx="5558155" cy="3245485"/>
                    </a:xfrm>
                    <a:prstGeom prst="rect">
                      <a:avLst/>
                    </a:prstGeom>
                  </pic:spPr>
                </pic:pic>
              </a:graphicData>
            </a:graphic>
          </wp:anchor>
        </w:drawing>
      </w:r>
      <w:r>
        <w:rPr>
          <w:rFonts w:hint="eastAsia" w:ascii="楷体_GB2312" w:hAnsi="楷体_GB2312" w:eastAsia="楷体_GB2312" w:cs="楷体_GB2312"/>
          <w:kern w:val="2"/>
          <w:sz w:val="32"/>
          <w:szCs w:val="32"/>
        </w:rPr>
        <w:t>（十一）质构</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质构是指米饭给人的一种以触觉为主体的综合物理感觉</w:t>
      </w:r>
      <w:r>
        <w:rPr>
          <w:rFonts w:hint="eastAsia" w:ascii="仿宋_GB2312" w:hAnsi="楷体" w:eastAsia="仿宋_GB2312"/>
          <w:kern w:val="2"/>
          <w:sz w:val="32"/>
          <w:szCs w:val="32"/>
          <w:lang w:eastAsia="zh-CN"/>
        </w:rPr>
        <w:t>，</w:t>
      </w:r>
      <w:r>
        <w:rPr>
          <w:rFonts w:hint="eastAsia" w:ascii="仿宋_GB2312" w:hAnsi="楷体" w:eastAsia="仿宋_GB2312"/>
          <w:kern w:val="2"/>
          <w:sz w:val="32"/>
          <w:szCs w:val="32"/>
        </w:rPr>
        <w:t>软硬度是与使米饭变形或穿透所需的力有关的质构特性。有研究表明，米饭口感软硬度与大米本身直链淀粉含量和支链淀粉的精细结构有关。根据目前的研究成果，采用质构仪测定米饭的质构，是一种比感官评价更简单、更客观的方法，测试结果越高，表明米饭越硬，测试结果越低，则米饭越软。</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本次测试中，有4台电饭煲样品的软硬度结果在2000g-2300g范围内；4台电饭煲样品的软硬度结果在1500g-2000g范围内；7台电饭煲样品的软硬度结果在1000g-1500g范围内；“MELING美菱”牌</w:t>
      </w:r>
      <w:r>
        <w:rPr>
          <w:rFonts w:ascii="仿宋_GB2312" w:hAnsi="楷体" w:eastAsia="仿宋_GB2312"/>
          <w:kern w:val="2"/>
          <w:sz w:val="32"/>
          <w:szCs w:val="32"/>
        </w:rPr>
        <w:t>MF-B503E型</w:t>
      </w:r>
      <w:r>
        <w:rPr>
          <w:rFonts w:hint="eastAsia" w:ascii="仿宋_GB2312" w:hAnsi="楷体" w:eastAsia="仿宋_GB2312"/>
          <w:kern w:val="2"/>
          <w:sz w:val="32"/>
          <w:szCs w:val="32"/>
        </w:rPr>
        <w:t>智能电饭煲</w:t>
      </w:r>
      <w:r>
        <w:rPr>
          <w:rFonts w:ascii="仿宋_GB2312" w:hAnsi="楷体" w:eastAsia="仿宋_GB2312"/>
          <w:kern w:val="2"/>
          <w:sz w:val="32"/>
          <w:szCs w:val="32"/>
        </w:rPr>
        <w:t>的</w:t>
      </w:r>
      <w:r>
        <w:rPr>
          <w:rFonts w:hint="eastAsia" w:ascii="仿宋_GB2312" w:hAnsi="楷体" w:eastAsia="仿宋_GB2312"/>
          <w:kern w:val="2"/>
          <w:sz w:val="32"/>
          <w:szCs w:val="32"/>
        </w:rPr>
        <w:t>米饭最软</w:t>
      </w:r>
      <w:r>
        <w:rPr>
          <w:rFonts w:ascii="仿宋_GB2312" w:hAnsi="楷体" w:eastAsia="仿宋_GB2312"/>
          <w:kern w:val="2"/>
          <w:sz w:val="32"/>
          <w:szCs w:val="32"/>
        </w:rPr>
        <w:t>，</w:t>
      </w:r>
      <w:r>
        <w:rPr>
          <w:rFonts w:hint="eastAsia" w:ascii="仿宋_GB2312" w:hAnsi="楷体" w:eastAsia="仿宋_GB2312"/>
          <w:kern w:val="2"/>
          <w:sz w:val="32"/>
          <w:szCs w:val="32"/>
        </w:rPr>
        <w:t>软硬度</w:t>
      </w:r>
      <w:r>
        <w:rPr>
          <w:rFonts w:ascii="仿宋_GB2312" w:hAnsi="楷体" w:eastAsia="仿宋_GB2312"/>
          <w:kern w:val="2"/>
          <w:sz w:val="32"/>
          <w:szCs w:val="32"/>
        </w:rPr>
        <w:t>结果</w:t>
      </w:r>
      <w:r>
        <w:rPr>
          <w:rFonts w:hint="eastAsia" w:ascii="仿宋_GB2312" w:hAnsi="楷体" w:eastAsia="仿宋_GB2312"/>
          <w:kern w:val="2"/>
          <w:sz w:val="32"/>
          <w:szCs w:val="32"/>
        </w:rPr>
        <w:t>低于500g。</w:t>
      </w:r>
    </w:p>
    <w:p>
      <w:pPr>
        <w:widowControl w:val="0"/>
        <w:snapToGrid w:val="0"/>
        <w:ind w:firstLine="640" w:firstLineChars="200"/>
        <w:contextualSpacing/>
        <w:jc w:val="both"/>
        <w:rPr>
          <w:rFonts w:ascii="楷体_GB2312" w:hAnsi="楷体_GB2312" w:eastAsia="楷体_GB2312" w:cs="楷体_GB2312"/>
          <w:kern w:val="2"/>
          <w:sz w:val="32"/>
          <w:szCs w:val="32"/>
        </w:rPr>
      </w:pPr>
    </w:p>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drawing>
          <wp:anchor distT="0" distB="0" distL="0" distR="0" simplePos="0" relativeHeight="1024" behindDoc="0" locked="0" layoutInCell="1" allowOverlap="1">
            <wp:simplePos x="0" y="0"/>
            <wp:positionH relativeFrom="column">
              <wp:posOffset>-194945</wp:posOffset>
            </wp:positionH>
            <wp:positionV relativeFrom="paragraph">
              <wp:posOffset>0</wp:posOffset>
            </wp:positionV>
            <wp:extent cx="5664200" cy="3422015"/>
            <wp:effectExtent l="0" t="0" r="12700" b="6985"/>
            <wp:wrapTopAndBottom/>
            <wp:docPr id="1054" name="图片 59" descr="/home/scjgj/Desktop/数据图片11.25/质构.png质构"/>
            <wp:cNvGraphicFramePr/>
            <a:graphic xmlns:a="http://schemas.openxmlformats.org/drawingml/2006/main">
              <a:graphicData uri="http://schemas.openxmlformats.org/drawingml/2006/picture">
                <pic:pic xmlns:pic="http://schemas.openxmlformats.org/drawingml/2006/picture">
                  <pic:nvPicPr>
                    <pic:cNvPr id="1054" name="图片 59" descr="/home/scjgj/Desktop/数据图片11.25/质构.png质构"/>
                    <pic:cNvPicPr/>
                  </pic:nvPicPr>
                  <pic:blipFill>
                    <a:blip r:embed="rId35" cstate="print"/>
                    <a:srcRect t="1054" b="1054"/>
                    <a:stretch>
                      <a:fillRect/>
                    </a:stretch>
                  </pic:blipFill>
                  <pic:spPr>
                    <a:xfrm>
                      <a:off x="0" y="0"/>
                      <a:ext cx="5664200" cy="3422015"/>
                    </a:xfrm>
                    <a:prstGeom prst="rect">
                      <a:avLst/>
                    </a:prstGeom>
                  </pic:spPr>
                </pic:pic>
              </a:graphicData>
            </a:graphic>
          </wp:anchor>
        </w:drawing>
      </w:r>
      <w:r>
        <w:rPr>
          <w:rFonts w:hint="eastAsia" w:ascii="楷体_GB2312" w:hAnsi="楷体_GB2312" w:eastAsia="楷体_GB2312" w:cs="楷体_GB2312"/>
          <w:kern w:val="2"/>
          <w:sz w:val="32"/>
          <w:szCs w:val="32"/>
        </w:rPr>
        <w:t>（十二）香气（挥发性香味）</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香气指米饭开盖后散发出的气味强度，用米饭经萃取后顶空取样提取的总挥发性成分含量表示。米饭中呈香物质的质量浓度，可以反映米饭香气的强弱。本次测试中，“ZOJIRUSHI”牌</w:t>
      </w:r>
      <w:r>
        <w:rPr>
          <w:rFonts w:ascii="仿宋_GB2312" w:hAnsi="楷体" w:eastAsia="仿宋_GB2312"/>
          <w:kern w:val="2"/>
          <w:sz w:val="32"/>
          <w:szCs w:val="32"/>
        </w:rPr>
        <w:t>NS-YSH18C型</w:t>
      </w:r>
      <w:r>
        <w:rPr>
          <w:rFonts w:hint="eastAsia" w:ascii="仿宋_GB2312" w:hAnsi="楷体" w:eastAsia="仿宋_GB2312"/>
          <w:kern w:val="2"/>
          <w:sz w:val="32"/>
          <w:szCs w:val="32"/>
        </w:rPr>
        <w:t>微电脑电饭煲、</w:t>
      </w:r>
      <w:r>
        <w:rPr>
          <w:rFonts w:ascii="仿宋_GB2312" w:hAnsi="楷体" w:eastAsia="仿宋_GB2312"/>
          <w:kern w:val="2"/>
          <w:sz w:val="32"/>
          <w:szCs w:val="32"/>
        </w:rPr>
        <w:t>“TIGER”牌JAX-C18C型电饭</w:t>
      </w:r>
      <w:r>
        <w:rPr>
          <w:rFonts w:hint="eastAsia" w:ascii="仿宋_GB2312" w:hAnsi="楷体" w:eastAsia="仿宋_GB2312"/>
          <w:kern w:val="2"/>
          <w:sz w:val="32"/>
          <w:szCs w:val="32"/>
        </w:rPr>
        <w:t>煲、</w:t>
      </w:r>
      <w:bookmarkStart w:id="2" w:name="_Hlk170375422"/>
      <w:r>
        <w:rPr>
          <w:rFonts w:hint="eastAsia" w:ascii="仿宋_GB2312" w:hAnsi="楷体" w:eastAsia="仿宋_GB2312"/>
          <w:kern w:val="2"/>
          <w:sz w:val="32"/>
          <w:szCs w:val="32"/>
        </w:rPr>
        <w:t>“</w:t>
      </w:r>
      <w:r>
        <w:rPr>
          <w:rFonts w:ascii="仿宋_GB2312" w:hAnsi="楷体" w:eastAsia="仿宋_GB2312"/>
          <w:kern w:val="2"/>
          <w:sz w:val="32"/>
          <w:szCs w:val="32"/>
        </w:rPr>
        <w:t>Midea</w:t>
      </w:r>
      <w:r>
        <w:rPr>
          <w:rFonts w:hint="eastAsia" w:ascii="仿宋_GB2312" w:hAnsi="楷体" w:eastAsia="仿宋_GB2312"/>
          <w:kern w:val="2"/>
          <w:sz w:val="32"/>
          <w:szCs w:val="32"/>
        </w:rPr>
        <w:t>”牌</w:t>
      </w:r>
      <w:r>
        <w:rPr>
          <w:rFonts w:ascii="仿宋_GB2312" w:hAnsi="楷体" w:eastAsia="仿宋_GB2312"/>
          <w:kern w:val="2"/>
          <w:sz w:val="32"/>
          <w:szCs w:val="32"/>
        </w:rPr>
        <w:t>MB-RE572</w:t>
      </w:r>
      <w:r>
        <w:rPr>
          <w:rFonts w:hint="eastAsia" w:ascii="仿宋_GB2312" w:hAnsi="楷体" w:eastAsia="仿宋_GB2312"/>
          <w:kern w:val="2"/>
          <w:sz w:val="32"/>
          <w:szCs w:val="32"/>
        </w:rPr>
        <w:t>型全智能电饭煲、“米家”牌</w:t>
      </w:r>
      <w:r>
        <w:rPr>
          <w:rFonts w:ascii="仿宋_GB2312" w:hAnsi="楷体" w:eastAsia="仿宋_GB2312"/>
          <w:kern w:val="2"/>
          <w:sz w:val="32"/>
          <w:szCs w:val="32"/>
        </w:rPr>
        <w:t>MFB06M</w:t>
      </w:r>
      <w:r>
        <w:rPr>
          <w:rFonts w:hint="eastAsia" w:ascii="仿宋_GB2312" w:hAnsi="楷体" w:eastAsia="仿宋_GB2312"/>
          <w:kern w:val="2"/>
          <w:sz w:val="32"/>
          <w:szCs w:val="32"/>
        </w:rPr>
        <w:t>型智能快煮电饭煲、“ASD爱仕达”牌</w:t>
      </w:r>
      <w:r>
        <w:rPr>
          <w:rFonts w:ascii="仿宋_GB2312" w:hAnsi="楷体" w:eastAsia="仿宋_GB2312"/>
          <w:kern w:val="2"/>
          <w:sz w:val="32"/>
          <w:szCs w:val="32"/>
        </w:rPr>
        <w:t>AR-F50E918</w:t>
      </w:r>
      <w:r>
        <w:rPr>
          <w:rFonts w:hint="eastAsia" w:ascii="仿宋_GB2312" w:hAnsi="楷体" w:eastAsia="仿宋_GB2312"/>
          <w:kern w:val="2"/>
          <w:sz w:val="32"/>
          <w:szCs w:val="32"/>
        </w:rPr>
        <w:t>型微电脑电饭煲、“</w:t>
      </w:r>
      <w:r>
        <w:rPr>
          <w:rFonts w:ascii="仿宋_GB2312" w:hAnsi="楷体" w:eastAsia="仿宋_GB2312"/>
          <w:kern w:val="2"/>
          <w:sz w:val="32"/>
          <w:szCs w:val="32"/>
        </w:rPr>
        <w:t>TOSHIBA</w:t>
      </w:r>
      <w:r>
        <w:rPr>
          <w:rFonts w:hint="eastAsia" w:ascii="仿宋_GB2312" w:hAnsi="楷体" w:eastAsia="仿宋_GB2312"/>
          <w:kern w:val="2"/>
          <w:sz w:val="32"/>
          <w:szCs w:val="32"/>
        </w:rPr>
        <w:t>”牌</w:t>
      </w:r>
      <w:r>
        <w:rPr>
          <w:rFonts w:ascii="仿宋_GB2312" w:hAnsi="楷体" w:eastAsia="仿宋_GB2312"/>
          <w:kern w:val="2"/>
          <w:sz w:val="32"/>
          <w:szCs w:val="32"/>
        </w:rPr>
        <w:t>RC-18DHTC</w:t>
      </w:r>
      <w:r>
        <w:rPr>
          <w:rFonts w:hint="eastAsia" w:ascii="仿宋_GB2312" w:hAnsi="楷体" w:eastAsia="仿宋_GB2312"/>
          <w:kern w:val="2"/>
          <w:sz w:val="32"/>
          <w:szCs w:val="32"/>
          <w:lang w:eastAsia="zh-CN"/>
        </w:rPr>
        <w:t>（</w:t>
      </w:r>
      <w:r>
        <w:rPr>
          <w:rFonts w:ascii="仿宋_GB2312" w:hAnsi="楷体" w:eastAsia="仿宋_GB2312"/>
          <w:kern w:val="2"/>
          <w:sz w:val="32"/>
          <w:szCs w:val="32"/>
        </w:rPr>
        <w:t>K</w:t>
      </w:r>
      <w:r>
        <w:rPr>
          <w:rFonts w:hint="eastAsia" w:ascii="仿宋_GB2312" w:hAnsi="楷体" w:eastAsia="仿宋_GB2312"/>
          <w:kern w:val="2"/>
          <w:sz w:val="32"/>
          <w:szCs w:val="32"/>
          <w:lang w:eastAsia="zh-CN"/>
        </w:rPr>
        <w:t>）</w:t>
      </w:r>
      <w:r>
        <w:rPr>
          <w:rFonts w:hint="eastAsia" w:ascii="仿宋_GB2312" w:hAnsi="楷体" w:eastAsia="仿宋_GB2312"/>
          <w:kern w:val="2"/>
          <w:sz w:val="32"/>
          <w:szCs w:val="32"/>
        </w:rPr>
        <w:t>型全智能电饭煲</w:t>
      </w:r>
      <w:bookmarkEnd w:id="2"/>
      <w:r>
        <w:rPr>
          <w:rFonts w:hint="eastAsia" w:ascii="仿宋_GB2312" w:hAnsi="楷体" w:eastAsia="仿宋_GB2312"/>
          <w:kern w:val="2"/>
          <w:sz w:val="32"/>
          <w:szCs w:val="32"/>
        </w:rPr>
        <w:t>的香气结果均大于1000μg/kg，结果较好。其余10台电饭煲样品的香气结果在300μg/kg-1000μg/kg。</w:t>
      </w:r>
    </w:p>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-384175</wp:posOffset>
            </wp:positionH>
            <wp:positionV relativeFrom="paragraph">
              <wp:posOffset>69850</wp:posOffset>
            </wp:positionV>
            <wp:extent cx="6043295" cy="3550920"/>
            <wp:effectExtent l="0" t="0" r="14605" b="11430"/>
            <wp:wrapTopAndBottom/>
            <wp:docPr id="1055" name="图片 61" descr="/home/scjgj/Desktop/数据图片11.25/香气.png香气"/>
            <wp:cNvGraphicFramePr/>
            <a:graphic xmlns:a="http://schemas.openxmlformats.org/drawingml/2006/main">
              <a:graphicData uri="http://schemas.openxmlformats.org/drawingml/2006/picture">
                <pic:pic xmlns:pic="http://schemas.openxmlformats.org/drawingml/2006/picture">
                  <pic:nvPicPr>
                    <pic:cNvPr id="1055" name="图片 61" descr="/home/scjgj/Desktop/数据图片11.25/香气.png香气"/>
                    <pic:cNvPicPr/>
                  </pic:nvPicPr>
                  <pic:blipFill>
                    <a:blip r:embed="rId36" cstate="print"/>
                    <a:srcRect t="1587" b="1587"/>
                    <a:stretch>
                      <a:fillRect/>
                    </a:stretch>
                  </pic:blipFill>
                  <pic:spPr>
                    <a:xfrm>
                      <a:off x="0" y="0"/>
                      <a:ext cx="6043295" cy="3550920"/>
                    </a:xfrm>
                    <a:prstGeom prst="rect">
                      <a:avLst/>
                    </a:prstGeom>
                  </pic:spPr>
                </pic:pic>
              </a:graphicData>
            </a:graphic>
          </wp:anchor>
        </w:drawing>
      </w:r>
      <w:r>
        <w:rPr>
          <w:rFonts w:hint="eastAsia" w:ascii="楷体_GB2312" w:hAnsi="楷体_GB2312" w:eastAsia="楷体_GB2312" w:cs="楷体_GB2312"/>
          <w:kern w:val="2"/>
          <w:sz w:val="32"/>
          <w:szCs w:val="32"/>
        </w:rPr>
        <w:t>（十三）呈甜味氨基酸</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呈甜味氨基酸含量反映了米饭的滋味特征。蛋白质因碳链长度、氨基酸组成及排列结构不同而呈现甜味、苦味、酸味、咸味、鲜味。米饭中氨基酸的种类和含量是衡量其营养质量和感官呈味的一项重要指标。本次测试中，“ASD爱仕达”牌</w:t>
      </w:r>
      <w:r>
        <w:rPr>
          <w:rFonts w:ascii="仿宋_GB2312" w:hAnsi="楷体" w:eastAsia="仿宋_GB2312"/>
          <w:kern w:val="2"/>
          <w:sz w:val="32"/>
          <w:szCs w:val="32"/>
        </w:rPr>
        <w:t>AR-F50E918型</w:t>
      </w:r>
      <w:r>
        <w:rPr>
          <w:rFonts w:hint="eastAsia" w:ascii="仿宋_GB2312" w:hAnsi="楷体" w:eastAsia="仿宋_GB2312"/>
          <w:kern w:val="2"/>
          <w:sz w:val="32"/>
          <w:szCs w:val="32"/>
        </w:rPr>
        <w:t>微电脑电饭煲</w:t>
      </w:r>
      <w:r>
        <w:rPr>
          <w:rFonts w:ascii="仿宋_GB2312" w:hAnsi="楷体" w:eastAsia="仿宋_GB2312"/>
          <w:kern w:val="2"/>
          <w:sz w:val="32"/>
          <w:szCs w:val="32"/>
        </w:rPr>
        <w:t>的测试结果最好，</w:t>
      </w:r>
      <w:r>
        <w:rPr>
          <w:rFonts w:hint="eastAsia" w:ascii="仿宋_GB2312" w:hAnsi="楷体" w:eastAsia="仿宋_GB2312"/>
          <w:kern w:val="2"/>
          <w:sz w:val="32"/>
          <w:szCs w:val="32"/>
        </w:rPr>
        <w:t>大于3mg/100g。有14台电饭煲样品的测试结果在2mg/100g-3mg/100g之间。“MELING美菱”牌</w:t>
      </w:r>
      <w:r>
        <w:rPr>
          <w:rFonts w:ascii="仿宋_GB2312" w:hAnsi="楷体" w:eastAsia="仿宋_GB2312"/>
          <w:kern w:val="2"/>
          <w:sz w:val="32"/>
          <w:szCs w:val="32"/>
        </w:rPr>
        <w:t>MF-B503E型</w:t>
      </w:r>
      <w:r>
        <w:rPr>
          <w:rFonts w:hint="eastAsia" w:ascii="仿宋_GB2312" w:hAnsi="楷体" w:eastAsia="仿宋_GB2312"/>
          <w:kern w:val="2"/>
          <w:sz w:val="32"/>
          <w:szCs w:val="32"/>
        </w:rPr>
        <w:t>智能电饭煲</w:t>
      </w:r>
      <w:r>
        <w:rPr>
          <w:rFonts w:ascii="仿宋_GB2312" w:hAnsi="楷体" w:eastAsia="仿宋_GB2312"/>
          <w:kern w:val="2"/>
          <w:sz w:val="32"/>
          <w:szCs w:val="32"/>
        </w:rPr>
        <w:t>的测试结果小于</w:t>
      </w:r>
      <w:r>
        <w:rPr>
          <w:rFonts w:hint="eastAsia" w:ascii="仿宋_GB2312" w:hAnsi="楷体" w:eastAsia="仿宋_GB2312"/>
          <w:kern w:val="2"/>
          <w:sz w:val="32"/>
          <w:szCs w:val="32"/>
        </w:rPr>
        <w:t>2mg/100g。</w:t>
      </w:r>
    </w:p>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-198755</wp:posOffset>
            </wp:positionH>
            <wp:positionV relativeFrom="paragraph">
              <wp:posOffset>0</wp:posOffset>
            </wp:positionV>
            <wp:extent cx="5671185" cy="3429000"/>
            <wp:effectExtent l="0" t="0" r="5715" b="0"/>
            <wp:wrapTopAndBottom/>
            <wp:docPr id="1056" name="图片 63" descr="/home/scjgj/Desktop/数据图片11.25/呈甜味氨基酸.png呈甜味氨基酸"/>
            <wp:cNvGraphicFramePr/>
            <a:graphic xmlns:a="http://schemas.openxmlformats.org/drawingml/2006/main">
              <a:graphicData uri="http://schemas.openxmlformats.org/drawingml/2006/picture">
                <pic:pic xmlns:pic="http://schemas.openxmlformats.org/drawingml/2006/picture">
                  <pic:nvPicPr>
                    <pic:cNvPr id="1056" name="图片 63" descr="/home/scjgj/Desktop/数据图片11.25/呈甜味氨基酸.png呈甜味氨基酸"/>
                    <pic:cNvPicPr/>
                  </pic:nvPicPr>
                  <pic:blipFill>
                    <a:blip r:embed="rId37" cstate="print"/>
                    <a:srcRect t="1366" b="1366"/>
                    <a:stretch>
                      <a:fillRect/>
                    </a:stretch>
                  </pic:blipFill>
                  <pic:spPr>
                    <a:xfrm>
                      <a:off x="0" y="0"/>
                      <a:ext cx="5671185" cy="3429000"/>
                    </a:xfrm>
                    <a:prstGeom prst="rect">
                      <a:avLst/>
                    </a:prstGeom>
                  </pic:spPr>
                </pic:pic>
              </a:graphicData>
            </a:graphic>
          </wp:anchor>
        </w:drawing>
      </w:r>
      <w:r>
        <w:rPr>
          <w:rFonts w:hint="eastAsia" w:ascii="楷体_GB2312" w:hAnsi="楷体_GB2312" w:eastAsia="楷体_GB2312" w:cs="楷体_GB2312"/>
          <w:kern w:val="2"/>
          <w:sz w:val="32"/>
          <w:szCs w:val="32"/>
        </w:rPr>
        <w:t>（十四）蛋白质保留率</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楷体_GB2312" w:hAnsi="楷体_GB2312" w:eastAsia="楷体_GB2312" w:cs="楷体_GB2312"/>
          <w:kern w:val="2"/>
          <w:sz w:val="32"/>
          <w:szCs w:val="32"/>
        </w:rPr>
        <w:drawing>
          <wp:anchor distT="0" distB="0" distL="0" distR="0" simplePos="0" relativeHeight="1024" behindDoc="0" locked="0" layoutInCell="1" allowOverlap="1">
            <wp:simplePos x="0" y="0"/>
            <wp:positionH relativeFrom="column">
              <wp:posOffset>-495935</wp:posOffset>
            </wp:positionH>
            <wp:positionV relativeFrom="paragraph">
              <wp:posOffset>2614295</wp:posOffset>
            </wp:positionV>
            <wp:extent cx="6265545" cy="1857375"/>
            <wp:effectExtent l="0" t="0" r="1905" b="9525"/>
            <wp:wrapTopAndBottom/>
            <wp:docPr id="1057" name="图片 49" descr="/home/scjgj/Desktop/数据图片11.25/蛋白质保留率.png蛋白质保留率"/>
            <wp:cNvGraphicFramePr/>
            <a:graphic xmlns:a="http://schemas.openxmlformats.org/drawingml/2006/main">
              <a:graphicData uri="http://schemas.openxmlformats.org/drawingml/2006/picture">
                <pic:pic xmlns:pic="http://schemas.openxmlformats.org/drawingml/2006/picture">
                  <pic:nvPicPr>
                    <pic:cNvPr id="1057" name="图片 49" descr="/home/scjgj/Desktop/数据图片11.25/蛋白质保留率.png蛋白质保留率"/>
                    <pic:cNvPicPr/>
                  </pic:nvPicPr>
                  <pic:blipFill>
                    <a:blip r:embed="rId38" cstate="print"/>
                    <a:srcRect t="3628" b="3628"/>
                    <a:stretch>
                      <a:fillRect/>
                    </a:stretch>
                  </pic:blipFill>
                  <pic:spPr>
                    <a:xfrm>
                      <a:off x="0" y="0"/>
                      <a:ext cx="6265545" cy="1857375"/>
                    </a:xfrm>
                    <a:prstGeom prst="rect">
                      <a:avLst/>
                    </a:prstGeom>
                  </pic:spPr>
                </pic:pic>
              </a:graphicData>
            </a:graphic>
          </wp:anchor>
        </w:drawing>
      </w:r>
      <w:r>
        <w:rPr>
          <w:rFonts w:hint="eastAsia" w:ascii="仿宋_GB2312" w:hAnsi="楷体" w:eastAsia="仿宋_GB2312"/>
          <w:kern w:val="2"/>
          <w:sz w:val="32"/>
          <w:szCs w:val="32"/>
        </w:rPr>
        <w:t>蛋白质保留率反映电饭煲在煮牛肉过程中的营养保留效果。蛋白质作为一切生物体的重要组成成分，是营养素之一，对食品的色、香、味及组织结构等具有重要意义。蛋白质保留率越高，电饭煲在煮牛肉过程中营养保留效果越好。本次测试中，有7台电饭煲的蛋白质保留率大于90%，其中“</w:t>
      </w:r>
      <w:r>
        <w:rPr>
          <w:rFonts w:ascii="仿宋_GB2312" w:hAnsi="楷体" w:eastAsia="仿宋_GB2312"/>
          <w:kern w:val="2"/>
          <w:sz w:val="32"/>
          <w:szCs w:val="32"/>
        </w:rPr>
        <w:t>Midea</w:t>
      </w:r>
      <w:r>
        <w:rPr>
          <w:rFonts w:hint="eastAsia" w:ascii="仿宋_GB2312" w:hAnsi="楷体" w:eastAsia="仿宋_GB2312"/>
          <w:kern w:val="2"/>
          <w:sz w:val="32"/>
          <w:szCs w:val="32"/>
        </w:rPr>
        <w:t>”牌</w:t>
      </w:r>
      <w:r>
        <w:rPr>
          <w:rFonts w:ascii="仿宋_GB2312" w:hAnsi="楷体" w:eastAsia="仿宋_GB2312"/>
          <w:kern w:val="2"/>
          <w:sz w:val="32"/>
          <w:szCs w:val="32"/>
        </w:rPr>
        <w:t>MB-RE572</w:t>
      </w:r>
      <w:r>
        <w:rPr>
          <w:rFonts w:hint="eastAsia" w:ascii="仿宋_GB2312" w:hAnsi="楷体" w:eastAsia="仿宋_GB2312"/>
          <w:kern w:val="2"/>
          <w:sz w:val="32"/>
          <w:szCs w:val="32"/>
        </w:rPr>
        <w:t>型全智能电饭煲</w:t>
      </w:r>
      <w:r>
        <w:rPr>
          <w:rFonts w:ascii="仿宋_GB2312" w:hAnsi="楷体" w:eastAsia="仿宋_GB2312"/>
          <w:kern w:val="2"/>
          <w:sz w:val="32"/>
          <w:szCs w:val="32"/>
        </w:rPr>
        <w:t>的结果最好，达到了</w:t>
      </w:r>
      <w:r>
        <w:rPr>
          <w:rFonts w:hint="eastAsia" w:ascii="仿宋_GB2312" w:hAnsi="楷体" w:eastAsia="仿宋_GB2312"/>
          <w:kern w:val="2"/>
          <w:sz w:val="32"/>
          <w:szCs w:val="32"/>
        </w:rPr>
        <w:t>92.6%。其余9台电饭煲的蛋白质保留率结果在80%-90%之间。</w:t>
      </w:r>
    </w:p>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（十五）咀嚼性</w:t>
      </w:r>
    </w:p>
    <w:p>
      <w:pPr>
        <w:widowControl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-73660</wp:posOffset>
            </wp:positionH>
            <wp:positionV relativeFrom="paragraph">
              <wp:posOffset>4849495</wp:posOffset>
            </wp:positionV>
            <wp:extent cx="5421630" cy="3745230"/>
            <wp:effectExtent l="0" t="0" r="7620" b="7620"/>
            <wp:wrapTopAndBottom/>
            <wp:docPr id="1058" name="图片 64" descr="/home/scjgj/Desktop/数据图片11.25/咀嚼性.png咀嚼性"/>
            <wp:cNvGraphicFramePr/>
            <a:graphic xmlns:a="http://schemas.openxmlformats.org/drawingml/2006/main">
              <a:graphicData uri="http://schemas.openxmlformats.org/drawingml/2006/picture">
                <pic:pic xmlns:pic="http://schemas.openxmlformats.org/drawingml/2006/picture">
                  <pic:nvPicPr>
                    <pic:cNvPr id="1058" name="图片 64" descr="/home/scjgj/Desktop/数据图片11.25/咀嚼性.png咀嚼性"/>
                    <pic:cNvPicPr/>
                  </pic:nvPicPr>
                  <pic:blipFill>
                    <a:blip r:embed="rId39" cstate="print"/>
                    <a:srcRect t="1341" b="1341"/>
                    <a:stretch>
                      <a:fillRect/>
                    </a:stretch>
                  </pic:blipFill>
                  <pic:spPr>
                    <a:xfrm>
                      <a:off x="0" y="0"/>
                      <a:ext cx="5421630" cy="3745230"/>
                    </a:xfrm>
                    <a:prstGeom prst="rect">
                      <a:avLst/>
                    </a:prstGeom>
                  </pic:spPr>
                </pic:pic>
              </a:graphicData>
            </a:graphic>
          </wp:anchor>
        </w:drawing>
      </w:r>
      <w:r>
        <w:rPr>
          <w:rFonts w:hint="eastAsia" w:ascii="仿宋_GB2312" w:hAnsi="楷体" w:eastAsia="仿宋_GB2312"/>
          <w:kern w:val="2"/>
          <w:sz w:val="32"/>
          <w:szCs w:val="32"/>
        </w:rPr>
        <w:t>咀嚼性是与使牛肉变形或穿透所需的力有关的质地特性。采用质构分析模式测试咀嚼固体食品所需要的能量，数据越低，表明咀嚼所需能量越小，越容易嚼碎。咀嚼性是肉类主要的食用品质之一，它包括两方面的感觉，一方面是肉在入口并开始咀嚼时是否容易被咬开，另一方面是肉是否容易被嚼碎。本次测试中，“Midea”牌MB-RE572型全智能电饭煲、“ASD爱仕达”AR-F50E918型微电脑电饭煲和 “TOSHIBA”牌RC-18DHTC</w:t>
      </w:r>
      <w:r>
        <w:rPr>
          <w:rFonts w:hint="eastAsia" w:ascii="仿宋_GB2312" w:hAnsi="楷体" w:eastAsia="仿宋_GB2312"/>
          <w:kern w:val="2"/>
          <w:sz w:val="32"/>
          <w:szCs w:val="32"/>
          <w:lang w:eastAsia="zh-CN"/>
        </w:rPr>
        <w:t>（</w:t>
      </w:r>
      <w:r>
        <w:rPr>
          <w:rFonts w:hint="eastAsia" w:ascii="仿宋_GB2312" w:hAnsi="楷体" w:eastAsia="仿宋_GB2312"/>
          <w:kern w:val="2"/>
          <w:sz w:val="32"/>
          <w:szCs w:val="32"/>
        </w:rPr>
        <w:t>K</w:t>
      </w:r>
      <w:r>
        <w:rPr>
          <w:rFonts w:hint="eastAsia" w:ascii="仿宋_GB2312" w:hAnsi="楷体" w:eastAsia="仿宋_GB2312"/>
          <w:kern w:val="2"/>
          <w:sz w:val="32"/>
          <w:szCs w:val="32"/>
          <w:lang w:eastAsia="zh-CN"/>
        </w:rPr>
        <w:t>）</w:t>
      </w:r>
      <w:bookmarkStart w:id="3" w:name="_GoBack"/>
      <w:bookmarkEnd w:id="3"/>
      <w:r>
        <w:rPr>
          <w:rFonts w:hint="eastAsia" w:ascii="仿宋_GB2312" w:hAnsi="楷体" w:eastAsia="仿宋_GB2312"/>
          <w:kern w:val="2"/>
          <w:sz w:val="32"/>
          <w:szCs w:val="32"/>
        </w:rPr>
        <w:t>型全智能电饭煲的咀嚼性结果大于30mJ。有9款电饭锅的咀嚼性结果在20mJ-30mJ之间。“Panasonic” SR-DC186-N型微电脑电饭煲、“TIGER”牌JAX-C18C型电饭煲、“荣事达Royalstar”牌RFB-M516L型微电脑电饭煲和“Joyoung九阳”牌F50FY-F575型微电脑智能电饭煲的咀嚼性结果小于20mJ。</w:t>
      </w:r>
    </w:p>
    <w:p>
      <w:pPr>
        <w:widowControl w:val="0"/>
        <w:spacing w:line="578" w:lineRule="exact"/>
        <w:ind w:firstLine="640" w:firstLineChars="200"/>
        <w:contextualSpacing/>
        <w:jc w:val="both"/>
        <w:rPr>
          <w:rFonts w:hint="eastAsia" w:ascii="楷体_GB2312" w:hAnsi="楷体_GB2312" w:eastAsia="楷体_GB2312" w:cs="楷体_GB2312"/>
          <w:kern w:val="2"/>
          <w:sz w:val="32"/>
          <w:szCs w:val="32"/>
        </w:rPr>
      </w:pPr>
    </w:p>
    <w:p>
      <w:pPr>
        <w:widowControl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（十六）上盖易清洁性</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随着消费者对产品体验要求的提高，电饭煲上盖的污渍是否容易清洁，是否存在清洁死角等问题的关注度逐渐升高。上盖易清洁性指标由工程师记录用户完成上盖清洁任务的任务绩效；以及用户通过上盖清洁任务操作对电饭煲的上盖易清洁性进行满意度评判。完成任务的时间越短，满意度越高，表明电饭煲上盖清洁操作逻辑越清晰，用户对该电饭煲上盖进行拆卸、清洁等操作越容易。本次测试的16台电饭煲中，有9台样品清洁上盖操作的任务绩效＜20s，满意度评价为满意；3台清洁上盖操作的任务绩效在20s-25s之间，评价为较满意；4台清洁上盖操作的任务绩效＞25s，评价为一般。</w:t>
      </w:r>
    </w:p>
    <w:p>
      <w:pPr>
        <w:widowControl w:val="0"/>
        <w:snapToGrid w:val="0"/>
        <w:spacing w:line="578" w:lineRule="exact"/>
        <w:ind w:firstLine="640" w:firstLineChars="200"/>
        <w:contextualSpacing/>
        <w:jc w:val="both"/>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（十七）操作便捷性</w:t>
      </w:r>
    </w:p>
    <w:p>
      <w:pPr>
        <w:widowControl w:val="0"/>
        <w:snapToGrid w:val="0"/>
        <w:spacing w:line="578" w:lineRule="exact"/>
        <w:ind w:firstLine="640" w:firstLineChars="200"/>
        <w:contextualSpacing/>
        <w:jc w:val="both"/>
        <w:rPr>
          <w:rFonts w:ascii="仿宋_GB2312" w:hAnsi="楷体" w:eastAsia="仿宋_GB2312"/>
          <w:kern w:val="2"/>
          <w:sz w:val="32"/>
          <w:szCs w:val="32"/>
        </w:rPr>
      </w:pPr>
      <w:r>
        <w:rPr>
          <w:rFonts w:hint="eastAsia" w:ascii="仿宋_GB2312" w:hAnsi="楷体" w:eastAsia="仿宋_GB2312"/>
          <w:kern w:val="2"/>
          <w:sz w:val="32"/>
          <w:szCs w:val="32"/>
        </w:rPr>
        <w:t>电饭煲在使用过程中是否简单、便捷是影响用户体验的重要因素。操作便捷性指标由工程师记录用户完成产品操作任务的任务绩效；以及用户通过产品任务操作对电饭煲的操作便捷性进行满意度评判。完成任务的时间越短，满意度越高，表明该电饭煲日常操作步骤越简单容易，操作逻辑清晰，符合用户的认知。本次测试的16款电饭煲中，有12台样品操作的任务绩效＜35s，操作便捷性满意度评价为满意；3台操作的任务绩效在35s-40s之间，评价为较满意；1台操作的任务绩效＞40s，评价为一般。</w:t>
      </w:r>
    </w:p>
    <w:p>
      <w:pPr>
        <w:widowControl w:val="0"/>
        <w:snapToGrid w:val="0"/>
        <w:ind w:firstLine="420" w:firstLineChars="200"/>
        <w:contextualSpacing/>
        <w:jc w:val="both"/>
        <w:rPr>
          <w:rStyle w:val="25"/>
        </w:rPr>
      </w:pPr>
    </w:p>
    <w:p>
      <w:pPr>
        <w:widowControl w:val="0"/>
        <w:snapToGrid w:val="0"/>
        <w:ind w:firstLine="420" w:firstLineChars="200"/>
        <w:contextualSpacing/>
        <w:jc w:val="both"/>
        <w:rPr>
          <w:rStyle w:val="25"/>
        </w:rPr>
      </w:pPr>
    </w:p>
    <w:p>
      <w:pPr>
        <w:widowControl w:val="0"/>
        <w:snapToGrid w:val="0"/>
        <w:ind w:firstLine="420" w:firstLineChars="200"/>
        <w:contextualSpacing/>
        <w:jc w:val="both"/>
        <w:rPr>
          <w:rStyle w:val="25"/>
        </w:rPr>
      </w:pPr>
    </w:p>
    <w:p>
      <w:pPr>
        <w:widowControl w:val="0"/>
        <w:snapToGrid w:val="0"/>
        <w:ind w:firstLine="420" w:firstLineChars="200"/>
        <w:contextualSpacing/>
        <w:jc w:val="both"/>
        <w:rPr>
          <w:rStyle w:val="25"/>
        </w:rPr>
      </w:pPr>
    </w:p>
    <w:p>
      <w:pPr>
        <w:widowControl w:val="0"/>
        <w:snapToGrid w:val="0"/>
        <w:ind w:firstLine="640" w:firstLineChars="200"/>
        <w:contextualSpacing/>
        <w:jc w:val="both"/>
        <w:rPr>
          <w:rStyle w:val="25"/>
        </w:rPr>
      </w:pPr>
      <w:r>
        <w:rPr>
          <w:rFonts w:hint="eastAsia" w:ascii="仿宋_GB2312" w:hAnsi="楷体" w:eastAsia="仿宋_GB2312"/>
          <w:kern w:val="2"/>
          <w:sz w:val="32"/>
          <w:szCs w:val="32"/>
        </w:rPr>
        <w:drawing>
          <wp:anchor distT="0" distB="0" distL="0" distR="0" simplePos="0" relativeHeight="1024" behindDoc="0" locked="0" layoutInCell="1" allowOverlap="1">
            <wp:simplePos x="0" y="0"/>
            <wp:positionH relativeFrom="column">
              <wp:posOffset>-218440</wp:posOffset>
            </wp:positionH>
            <wp:positionV relativeFrom="paragraph">
              <wp:posOffset>187325</wp:posOffset>
            </wp:positionV>
            <wp:extent cx="5723890" cy="3118485"/>
            <wp:effectExtent l="0" t="0" r="0" b="5715"/>
            <wp:wrapTopAndBottom/>
            <wp:docPr id="1059" name="图片 65" descr="/home/scjgj/Desktop/数据图片11.25/评测.png评测"/>
            <wp:cNvGraphicFramePr/>
            <a:graphic xmlns:a="http://schemas.openxmlformats.org/drawingml/2006/main">
              <a:graphicData uri="http://schemas.openxmlformats.org/drawingml/2006/picture">
                <pic:pic xmlns:pic="http://schemas.openxmlformats.org/drawingml/2006/picture">
                  <pic:nvPicPr>
                    <pic:cNvPr id="1059" name="图片 65" descr="/home/scjgj/Desktop/数据图片11.25/评测.png评测"/>
                    <pic:cNvPicPr/>
                  </pic:nvPicPr>
                  <pic:blipFill>
                    <a:blip r:embed="rId40" cstate="print"/>
                    <a:srcRect t="599" b="599"/>
                    <a:stretch>
                      <a:fillRect/>
                    </a:stretch>
                  </pic:blipFill>
                  <pic:spPr>
                    <a:xfrm>
                      <a:off x="0" y="0"/>
                      <a:ext cx="5723890" cy="3118485"/>
                    </a:xfrm>
                    <a:prstGeom prst="rect">
                      <a:avLst/>
                    </a:prstGeom>
                  </pic:spPr>
                </pic:pic>
              </a:graphicData>
            </a:graphic>
          </wp:anchor>
        </w:drawing>
      </w:r>
    </w:p>
    <w:p>
      <w:pPr>
        <w:widowControl w:val="0"/>
        <w:snapToGrid w:val="0"/>
        <w:ind w:firstLine="420" w:firstLineChars="200"/>
        <w:contextualSpacing/>
        <w:jc w:val="both"/>
        <w:rPr>
          <w:rStyle w:val="25"/>
        </w:rPr>
      </w:pPr>
    </w:p>
    <w:p>
      <w:pPr>
        <w:widowControl w:val="0"/>
        <w:snapToGrid w:val="0"/>
        <w:spacing w:line="578" w:lineRule="exact"/>
        <w:ind w:firstLine="562" w:firstLineChars="200"/>
        <w:contextualSpacing/>
        <w:jc w:val="both"/>
        <w:rPr>
          <w:rFonts w:ascii="仿宋_GB2312" w:hAnsi="仿宋_GB2312" w:eastAsia="仿宋_GB2312" w:cs="仿宋_GB2312"/>
          <w:b/>
          <w:bCs/>
          <w:kern w:val="2"/>
          <w:sz w:val="32"/>
          <w:szCs w:val="32"/>
        </w:rPr>
      </w:pPr>
      <w:r>
        <w:rPr>
          <w:rFonts w:hint="eastAsia" w:ascii="仿宋_GB2312" w:hAnsi="仿宋_GB2312" w:eastAsia="仿宋_GB2312" w:cs="仿宋_GB2312"/>
          <w:b/>
          <w:bCs/>
          <w:sz w:val="28"/>
          <w:szCs w:val="28"/>
        </w:rPr>
        <w:t>☆</w:t>
      </w:r>
      <w:r>
        <w:rPr>
          <w:rFonts w:hint="eastAsia" w:ascii="仿宋_GB2312" w:hAnsi="仿宋_GB2312" w:eastAsia="仿宋_GB2312" w:cs="仿宋_GB2312"/>
          <w:b/>
          <w:bCs/>
          <w:kern w:val="2"/>
          <w:sz w:val="32"/>
          <w:szCs w:val="32"/>
        </w:rPr>
        <w:t>根据本次比较试验评价规则，各项目均为满意等级的样品共</w:t>
      </w:r>
      <w:r>
        <w:rPr>
          <w:rFonts w:ascii="仿宋_GB2312" w:hAnsi="仿宋_GB2312" w:eastAsia="仿宋_GB2312" w:cs="仿宋_GB2312"/>
          <w:b/>
          <w:bCs/>
          <w:kern w:val="2"/>
          <w:sz w:val="32"/>
          <w:szCs w:val="32"/>
        </w:rPr>
        <w:t>5</w:t>
      </w:r>
      <w:r>
        <w:rPr>
          <w:rFonts w:hint="eastAsia" w:ascii="仿宋_GB2312" w:hAnsi="仿宋_GB2312" w:eastAsia="仿宋_GB2312" w:cs="仿宋_GB2312"/>
          <w:b/>
          <w:bCs/>
          <w:kern w:val="2"/>
          <w:sz w:val="32"/>
          <w:szCs w:val="32"/>
        </w:rPr>
        <w:t>组：</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20"/>
        <w:gridCol w:w="3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0" w:type="dxa"/>
          </w:tcPr>
          <w:p>
            <w:pPr>
              <w:widowControl w:val="0"/>
              <w:snapToGrid w:val="0"/>
              <w:contextualSpacing/>
              <w:jc w:val="center"/>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drawing>
                <wp:inline distT="0" distB="0" distL="0" distR="0">
                  <wp:extent cx="1704340" cy="1440180"/>
                  <wp:effectExtent l="0" t="0" r="10160" b="7620"/>
                  <wp:docPr id="1060" name="图片 3" descr="图片13"/>
                  <wp:cNvGraphicFramePr/>
                  <a:graphic xmlns:a="http://schemas.openxmlformats.org/drawingml/2006/main">
                    <a:graphicData uri="http://schemas.openxmlformats.org/drawingml/2006/picture">
                      <pic:pic xmlns:pic="http://schemas.openxmlformats.org/drawingml/2006/picture">
                        <pic:nvPicPr>
                          <pic:cNvPr id="1060" name="图片 3" descr="图片13"/>
                          <pic:cNvPicPr/>
                        </pic:nvPicPr>
                        <pic:blipFill>
                          <a:blip r:embed="rId41" cstate="print"/>
                          <a:srcRect/>
                          <a:stretch>
                            <a:fillRect/>
                          </a:stretch>
                        </pic:blipFill>
                        <pic:spPr>
                          <a:xfrm>
                            <a:off x="0" y="0"/>
                            <a:ext cx="1704340" cy="1440180"/>
                          </a:xfrm>
                          <a:prstGeom prst="rect">
                            <a:avLst/>
                          </a:prstGeom>
                        </pic:spPr>
                      </pic:pic>
                    </a:graphicData>
                  </a:graphic>
                </wp:inline>
              </w:drawing>
            </w:r>
          </w:p>
        </w:tc>
        <w:tc>
          <w:tcPr>
            <w:tcW w:w="3727" w:type="dxa"/>
          </w:tcPr>
          <w:p>
            <w:pPr>
              <w:widowControl w:val="0"/>
              <w:snapToGrid w:val="0"/>
              <w:contextualSpacing/>
              <w:jc w:val="center"/>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drawing>
                <wp:inline distT="0" distB="0" distL="0" distR="0">
                  <wp:extent cx="1703070" cy="1440180"/>
                  <wp:effectExtent l="0" t="0" r="10795" b="7620"/>
                  <wp:docPr id="1061" name="图片 41" descr="图片6"/>
                  <wp:cNvGraphicFramePr/>
                  <a:graphic xmlns:a="http://schemas.openxmlformats.org/drawingml/2006/main">
                    <a:graphicData uri="http://schemas.openxmlformats.org/drawingml/2006/picture">
                      <pic:pic xmlns:pic="http://schemas.openxmlformats.org/drawingml/2006/picture">
                        <pic:nvPicPr>
                          <pic:cNvPr id="1061" name="图片 41" descr="图片6"/>
                          <pic:cNvPicPr/>
                        </pic:nvPicPr>
                        <pic:blipFill>
                          <a:blip r:embed="rId42" cstate="print"/>
                          <a:srcRect/>
                          <a:stretch>
                            <a:fillRect/>
                          </a:stretch>
                        </pic:blipFill>
                        <pic:spPr>
                          <a:xfrm>
                            <a:off x="0" y="0"/>
                            <a:ext cx="1703704"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3520" w:type="dxa"/>
          </w:tcPr>
          <w:p>
            <w:pPr>
              <w:spacing w:line="240" w:lineRule="exact"/>
              <w:jc w:val="center"/>
              <w:rPr>
                <w:b/>
                <w:bCs/>
                <w:sz w:val="16"/>
                <w:szCs w:val="16"/>
              </w:rPr>
            </w:pPr>
            <w:r>
              <w:rPr>
                <w:rFonts w:hint="eastAsia"/>
                <w:b/>
                <w:bCs/>
                <w:sz w:val="16"/>
                <w:szCs w:val="16"/>
              </w:rPr>
              <w:t>能效：2级          不粘性：</w:t>
            </w:r>
            <w:r>
              <w:rPr>
                <w:rFonts w:hint="eastAsia" w:ascii="仿宋_GB2312" w:hAnsi="仿宋_GB2312" w:eastAsia="仿宋_GB2312" w:cs="仿宋_GB2312"/>
                <w:b/>
                <w:bCs/>
                <w:sz w:val="16"/>
                <w:szCs w:val="16"/>
              </w:rPr>
              <w:t>★★★★★</w:t>
            </w:r>
          </w:p>
          <w:p>
            <w:pPr>
              <w:spacing w:line="240" w:lineRule="exact"/>
              <w:jc w:val="center"/>
              <w:rPr>
                <w:rFonts w:ascii="仿宋_GB2312" w:hAnsi="仿宋_GB2312" w:eastAsia="仿宋_GB2312" w:cs="仿宋_GB2312"/>
                <w:b/>
                <w:bCs/>
                <w:kern w:val="2"/>
                <w:sz w:val="32"/>
                <w:szCs w:val="32"/>
              </w:rPr>
            </w:pPr>
            <w:r>
              <w:rPr>
                <w:rFonts w:hint="eastAsia"/>
                <w:b/>
                <w:bCs/>
                <w:sz w:val="16"/>
                <w:szCs w:val="16"/>
              </w:rPr>
              <w:t>评测：满意</w:t>
            </w:r>
            <w:r>
              <w:rPr>
                <w:rFonts w:hint="eastAsia" w:ascii="仿宋_GB2312" w:hAnsi="仿宋_GB2312" w:eastAsia="仿宋_GB2312" w:cs="仿宋_GB2312"/>
                <w:b/>
                <w:bCs/>
                <w:sz w:val="16"/>
                <w:szCs w:val="16"/>
              </w:rPr>
              <w:t xml:space="preserve">        </w:t>
            </w:r>
            <w:r>
              <w:rPr>
                <w:rFonts w:hint="eastAsia"/>
                <w:b/>
                <w:bCs/>
                <w:sz w:val="16"/>
                <w:szCs w:val="16"/>
              </w:rPr>
              <w:t>烹饪综合：</w:t>
            </w:r>
            <w:r>
              <w:rPr>
                <w:rFonts w:hint="eastAsia" w:ascii="仿宋_GB2312" w:hAnsi="仿宋_GB2312" w:eastAsia="仿宋_GB2312" w:cs="仿宋_GB2312"/>
                <w:b/>
                <w:bCs/>
                <w:sz w:val="16"/>
                <w:szCs w:val="16"/>
              </w:rPr>
              <w:t>★★★★★</w:t>
            </w:r>
          </w:p>
        </w:tc>
        <w:tc>
          <w:tcPr>
            <w:tcW w:w="3727" w:type="dxa"/>
          </w:tcPr>
          <w:p>
            <w:pPr>
              <w:spacing w:line="240" w:lineRule="exact"/>
              <w:jc w:val="center"/>
              <w:rPr>
                <w:b/>
                <w:bCs/>
                <w:sz w:val="16"/>
                <w:szCs w:val="16"/>
              </w:rPr>
            </w:pPr>
            <w:r>
              <w:rPr>
                <w:rFonts w:hint="eastAsia"/>
                <w:b/>
                <w:bCs/>
                <w:sz w:val="16"/>
                <w:szCs w:val="16"/>
              </w:rPr>
              <w:t xml:space="preserve">能效：2级 </w:t>
            </w:r>
            <w:r>
              <w:rPr>
                <w:b/>
                <w:bCs/>
                <w:sz w:val="16"/>
                <w:szCs w:val="16"/>
              </w:rPr>
              <w:t xml:space="preserve">        </w:t>
            </w:r>
            <w:r>
              <w:rPr>
                <w:rFonts w:hint="eastAsia"/>
                <w:b/>
                <w:bCs/>
                <w:sz w:val="16"/>
                <w:szCs w:val="16"/>
              </w:rPr>
              <w:t xml:space="preserve"> 不粘性：</w:t>
            </w:r>
            <w:r>
              <w:rPr>
                <w:rFonts w:hint="eastAsia" w:ascii="仿宋_GB2312" w:hAnsi="仿宋_GB2312" w:eastAsia="仿宋_GB2312" w:cs="仿宋_GB2312"/>
                <w:b/>
                <w:bCs/>
                <w:sz w:val="16"/>
                <w:szCs w:val="16"/>
              </w:rPr>
              <w:t>★★★★★</w:t>
            </w:r>
          </w:p>
          <w:p>
            <w:pPr>
              <w:spacing w:line="240" w:lineRule="exact"/>
              <w:jc w:val="center"/>
              <w:rPr>
                <w:rFonts w:ascii="仿宋_GB2312" w:hAnsi="仿宋_GB2312" w:eastAsia="仿宋_GB2312" w:cs="仿宋_GB2312"/>
                <w:b/>
                <w:bCs/>
                <w:kern w:val="2"/>
                <w:sz w:val="32"/>
                <w:szCs w:val="32"/>
              </w:rPr>
            </w:pPr>
            <w:r>
              <w:rPr>
                <w:rFonts w:hint="eastAsia"/>
                <w:b/>
                <w:bCs/>
                <w:sz w:val="16"/>
                <w:szCs w:val="16"/>
              </w:rPr>
              <w:t xml:space="preserve">评测：满意 </w:t>
            </w:r>
            <w:r>
              <w:rPr>
                <w:b/>
                <w:bCs/>
                <w:sz w:val="16"/>
                <w:szCs w:val="16"/>
              </w:rPr>
              <w:t xml:space="preserve">       </w:t>
            </w:r>
            <w:r>
              <w:rPr>
                <w:rFonts w:hint="eastAsia"/>
                <w:b/>
                <w:bCs/>
                <w:sz w:val="16"/>
                <w:szCs w:val="16"/>
              </w:rPr>
              <w:t>烹饪综合：</w:t>
            </w:r>
            <w:r>
              <w:rPr>
                <w:rFonts w:hint="eastAsia" w:ascii="仿宋_GB2312" w:hAnsi="仿宋_GB2312" w:eastAsia="仿宋_GB2312" w:cs="仿宋_GB2312"/>
                <w:b/>
                <w:bCs/>
                <w:sz w:val="16"/>
                <w:szCs w:val="16"/>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0" w:type="dxa"/>
          </w:tcPr>
          <w:p>
            <w:pPr>
              <w:widowControl w:val="0"/>
              <w:snapToGrid w:val="0"/>
              <w:contextualSpacing/>
              <w:jc w:val="center"/>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drawing>
                <wp:inline distT="0" distB="0" distL="0" distR="0">
                  <wp:extent cx="1706245" cy="1440180"/>
                  <wp:effectExtent l="0" t="0" r="7620" b="7620"/>
                  <wp:docPr id="1062" name="图片 42" descr="图片7"/>
                  <wp:cNvGraphicFramePr/>
                  <a:graphic xmlns:a="http://schemas.openxmlformats.org/drawingml/2006/main">
                    <a:graphicData uri="http://schemas.openxmlformats.org/drawingml/2006/picture">
                      <pic:pic xmlns:pic="http://schemas.openxmlformats.org/drawingml/2006/picture">
                        <pic:nvPicPr>
                          <pic:cNvPr id="1062" name="图片 42" descr="图片7"/>
                          <pic:cNvPicPr/>
                        </pic:nvPicPr>
                        <pic:blipFill>
                          <a:blip r:embed="rId43" cstate="print"/>
                          <a:srcRect/>
                          <a:stretch>
                            <a:fillRect/>
                          </a:stretch>
                        </pic:blipFill>
                        <pic:spPr>
                          <a:xfrm>
                            <a:off x="0" y="0"/>
                            <a:ext cx="1706879" cy="1440180"/>
                          </a:xfrm>
                          <a:prstGeom prst="rect">
                            <a:avLst/>
                          </a:prstGeom>
                        </pic:spPr>
                      </pic:pic>
                    </a:graphicData>
                  </a:graphic>
                </wp:inline>
              </w:drawing>
            </w:r>
          </w:p>
        </w:tc>
        <w:tc>
          <w:tcPr>
            <w:tcW w:w="3727" w:type="dxa"/>
          </w:tcPr>
          <w:p>
            <w:pPr>
              <w:widowControl w:val="0"/>
              <w:snapToGrid w:val="0"/>
              <w:contextualSpacing/>
              <w:jc w:val="center"/>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drawing>
                <wp:inline distT="0" distB="0" distL="0" distR="0">
                  <wp:extent cx="1709420" cy="1440180"/>
                  <wp:effectExtent l="0" t="0" r="5080" b="7620"/>
                  <wp:docPr id="1063" name="图片 54" descr="图片9"/>
                  <wp:cNvGraphicFramePr/>
                  <a:graphic xmlns:a="http://schemas.openxmlformats.org/drawingml/2006/main">
                    <a:graphicData uri="http://schemas.openxmlformats.org/drawingml/2006/picture">
                      <pic:pic xmlns:pic="http://schemas.openxmlformats.org/drawingml/2006/picture">
                        <pic:nvPicPr>
                          <pic:cNvPr id="1063" name="图片 54" descr="图片9"/>
                          <pic:cNvPicPr/>
                        </pic:nvPicPr>
                        <pic:blipFill>
                          <a:blip r:embed="rId44" cstate="print"/>
                          <a:srcRect/>
                          <a:stretch>
                            <a:fillRect/>
                          </a:stretch>
                        </pic:blipFill>
                        <pic:spPr>
                          <a:xfrm>
                            <a:off x="0" y="0"/>
                            <a:ext cx="170942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81" w:hRule="atLeast"/>
          <w:jc w:val="center"/>
        </w:trPr>
        <w:tc>
          <w:tcPr>
            <w:tcW w:w="3520" w:type="dxa"/>
          </w:tcPr>
          <w:p>
            <w:pPr>
              <w:spacing w:line="240" w:lineRule="exact"/>
              <w:jc w:val="center"/>
              <w:rPr>
                <w:b/>
                <w:bCs/>
                <w:sz w:val="16"/>
                <w:szCs w:val="16"/>
              </w:rPr>
            </w:pPr>
            <w:r>
              <w:rPr>
                <w:rFonts w:hint="eastAsia"/>
                <w:b/>
                <w:bCs/>
                <w:sz w:val="16"/>
                <w:szCs w:val="16"/>
              </w:rPr>
              <w:t>能效：2级          不粘性：</w:t>
            </w:r>
            <w:r>
              <w:rPr>
                <w:rFonts w:hint="eastAsia" w:ascii="仿宋_GB2312" w:hAnsi="仿宋_GB2312" w:eastAsia="仿宋_GB2312" w:cs="仿宋_GB2312"/>
                <w:b/>
                <w:bCs/>
                <w:sz w:val="16"/>
                <w:szCs w:val="16"/>
              </w:rPr>
              <w:t>★★★★★</w:t>
            </w:r>
          </w:p>
          <w:p>
            <w:pPr>
              <w:widowControl w:val="0"/>
              <w:snapToGrid w:val="0"/>
              <w:contextualSpacing/>
              <w:jc w:val="center"/>
              <w:rPr>
                <w:rFonts w:ascii="仿宋_GB2312" w:hAnsi="仿宋_GB2312" w:eastAsia="仿宋_GB2312" w:cs="仿宋_GB2312"/>
                <w:b/>
                <w:bCs/>
                <w:kern w:val="2"/>
                <w:sz w:val="32"/>
                <w:szCs w:val="32"/>
              </w:rPr>
            </w:pPr>
            <w:r>
              <w:rPr>
                <w:rFonts w:hint="eastAsia"/>
                <w:b/>
                <w:bCs/>
                <w:sz w:val="16"/>
                <w:szCs w:val="16"/>
              </w:rPr>
              <w:t>评测：满意</w:t>
            </w:r>
            <w:r>
              <w:rPr>
                <w:rFonts w:hint="eastAsia" w:ascii="仿宋_GB2312" w:hAnsi="仿宋_GB2312" w:eastAsia="仿宋_GB2312" w:cs="仿宋_GB2312"/>
                <w:b/>
                <w:bCs/>
                <w:sz w:val="16"/>
                <w:szCs w:val="16"/>
              </w:rPr>
              <w:t xml:space="preserve">        </w:t>
            </w:r>
            <w:r>
              <w:rPr>
                <w:rFonts w:hint="eastAsia"/>
                <w:b/>
                <w:bCs/>
                <w:sz w:val="16"/>
                <w:szCs w:val="16"/>
              </w:rPr>
              <w:t>烹饪综合：</w:t>
            </w:r>
            <w:r>
              <w:rPr>
                <w:rFonts w:hint="eastAsia" w:ascii="仿宋_GB2312" w:hAnsi="仿宋_GB2312" w:eastAsia="仿宋_GB2312" w:cs="仿宋_GB2312"/>
                <w:b/>
                <w:bCs/>
                <w:sz w:val="16"/>
                <w:szCs w:val="16"/>
              </w:rPr>
              <w:t>★★★★★</w:t>
            </w:r>
          </w:p>
        </w:tc>
        <w:tc>
          <w:tcPr>
            <w:tcW w:w="3727" w:type="dxa"/>
          </w:tcPr>
          <w:p>
            <w:pPr>
              <w:spacing w:line="240" w:lineRule="exact"/>
              <w:jc w:val="center"/>
              <w:rPr>
                <w:b/>
                <w:bCs/>
                <w:sz w:val="16"/>
                <w:szCs w:val="16"/>
              </w:rPr>
            </w:pPr>
            <w:r>
              <w:rPr>
                <w:rFonts w:hint="eastAsia"/>
                <w:b/>
                <w:bCs/>
                <w:sz w:val="16"/>
                <w:szCs w:val="16"/>
              </w:rPr>
              <w:t>能效：2级          不粘性：</w:t>
            </w:r>
            <w:r>
              <w:rPr>
                <w:rFonts w:hint="eastAsia" w:ascii="仿宋_GB2312" w:hAnsi="仿宋_GB2312" w:eastAsia="仿宋_GB2312" w:cs="仿宋_GB2312"/>
                <w:b/>
                <w:bCs/>
                <w:sz w:val="16"/>
                <w:szCs w:val="16"/>
              </w:rPr>
              <w:t>★★★★★</w:t>
            </w:r>
          </w:p>
          <w:p>
            <w:pPr>
              <w:widowControl w:val="0"/>
              <w:snapToGrid w:val="0"/>
              <w:contextualSpacing/>
              <w:jc w:val="center"/>
              <w:rPr>
                <w:rFonts w:ascii="仿宋_GB2312" w:hAnsi="仿宋_GB2312" w:eastAsia="仿宋_GB2312" w:cs="仿宋_GB2312"/>
                <w:b/>
                <w:bCs/>
                <w:kern w:val="2"/>
                <w:sz w:val="32"/>
                <w:szCs w:val="32"/>
              </w:rPr>
            </w:pPr>
            <w:r>
              <w:rPr>
                <w:rFonts w:hint="eastAsia"/>
                <w:b/>
                <w:bCs/>
                <w:sz w:val="16"/>
                <w:szCs w:val="16"/>
              </w:rPr>
              <w:t>评测：满意</w:t>
            </w:r>
            <w:r>
              <w:rPr>
                <w:rFonts w:hint="eastAsia" w:ascii="仿宋_GB2312" w:hAnsi="仿宋_GB2312" w:eastAsia="仿宋_GB2312" w:cs="仿宋_GB2312"/>
                <w:b/>
                <w:bCs/>
                <w:sz w:val="16"/>
                <w:szCs w:val="16"/>
              </w:rPr>
              <w:t xml:space="preserve">        </w:t>
            </w:r>
            <w:r>
              <w:rPr>
                <w:rFonts w:hint="eastAsia"/>
                <w:b/>
                <w:bCs/>
                <w:sz w:val="16"/>
                <w:szCs w:val="16"/>
              </w:rPr>
              <w:t>烹饪综合：</w:t>
            </w:r>
            <w:r>
              <w:rPr>
                <w:rFonts w:hint="eastAsia" w:ascii="仿宋_GB2312" w:hAnsi="仿宋_GB2312" w:eastAsia="仿宋_GB2312" w:cs="仿宋_GB2312"/>
                <w:b/>
                <w:bCs/>
                <w:sz w:val="16"/>
                <w:szCs w:val="16"/>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0" w:type="dxa"/>
          </w:tcPr>
          <w:p>
            <w:pPr>
              <w:widowControl w:val="0"/>
              <w:snapToGrid w:val="0"/>
              <w:contextualSpacing/>
              <w:jc w:val="center"/>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drawing>
                <wp:inline distT="0" distB="0" distL="0" distR="0">
                  <wp:extent cx="1707515" cy="1440180"/>
                  <wp:effectExtent l="0" t="0" r="6985" b="7620"/>
                  <wp:docPr id="1064" name="图片 66" descr="图片16"/>
                  <wp:cNvGraphicFramePr/>
                  <a:graphic xmlns:a="http://schemas.openxmlformats.org/drawingml/2006/main">
                    <a:graphicData uri="http://schemas.openxmlformats.org/drawingml/2006/picture">
                      <pic:pic xmlns:pic="http://schemas.openxmlformats.org/drawingml/2006/picture">
                        <pic:nvPicPr>
                          <pic:cNvPr id="1064" name="图片 66" descr="图片16"/>
                          <pic:cNvPicPr/>
                        </pic:nvPicPr>
                        <pic:blipFill>
                          <a:blip r:embed="rId45" cstate="print"/>
                          <a:srcRect/>
                          <a:stretch>
                            <a:fillRect/>
                          </a:stretch>
                        </pic:blipFill>
                        <pic:spPr>
                          <a:xfrm>
                            <a:off x="0" y="0"/>
                            <a:ext cx="1707515" cy="1440180"/>
                          </a:xfrm>
                          <a:prstGeom prst="rect">
                            <a:avLst/>
                          </a:prstGeom>
                        </pic:spPr>
                      </pic:pic>
                    </a:graphicData>
                  </a:graphic>
                </wp:inline>
              </w:drawing>
            </w:r>
          </w:p>
        </w:tc>
        <w:tc>
          <w:tcPr>
            <w:tcW w:w="3727" w:type="dxa"/>
          </w:tcPr>
          <w:p>
            <w:pPr>
              <w:widowControl w:val="0"/>
              <w:snapToGrid w:val="0"/>
              <w:contextualSpacing/>
              <w:jc w:val="both"/>
              <w:rPr>
                <w:rFonts w:ascii="仿宋_GB2312" w:hAnsi="仿宋_GB2312" w:eastAsia="仿宋_GB2312" w:cs="仿宋_GB2312"/>
                <w:b/>
                <w:bCs/>
                <w:kern w:val="2"/>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20" w:type="dxa"/>
          </w:tcPr>
          <w:p>
            <w:pPr>
              <w:spacing w:line="240" w:lineRule="exact"/>
              <w:jc w:val="center"/>
              <w:rPr>
                <w:b/>
                <w:bCs/>
                <w:sz w:val="16"/>
                <w:szCs w:val="16"/>
              </w:rPr>
            </w:pPr>
            <w:r>
              <w:rPr>
                <w:rFonts w:hint="eastAsia"/>
                <w:b/>
                <w:bCs/>
                <w:sz w:val="16"/>
                <w:szCs w:val="16"/>
              </w:rPr>
              <w:t>能效：2级          不粘性：</w:t>
            </w:r>
            <w:r>
              <w:rPr>
                <w:rFonts w:hint="eastAsia" w:ascii="仿宋_GB2312" w:hAnsi="仿宋_GB2312" w:eastAsia="仿宋_GB2312" w:cs="仿宋_GB2312"/>
                <w:b/>
                <w:bCs/>
                <w:sz w:val="16"/>
                <w:szCs w:val="16"/>
              </w:rPr>
              <w:t>★★★★★</w:t>
            </w:r>
          </w:p>
          <w:p>
            <w:pPr>
              <w:widowControl w:val="0"/>
              <w:snapToGrid w:val="0"/>
              <w:contextualSpacing/>
              <w:jc w:val="center"/>
              <w:rPr>
                <w:rFonts w:ascii="仿宋_GB2312" w:hAnsi="仿宋_GB2312" w:eastAsia="仿宋_GB2312" w:cs="仿宋_GB2312"/>
                <w:b/>
                <w:bCs/>
                <w:kern w:val="2"/>
                <w:sz w:val="32"/>
                <w:szCs w:val="32"/>
              </w:rPr>
            </w:pPr>
            <w:r>
              <w:rPr>
                <w:rFonts w:hint="eastAsia"/>
                <w:b/>
                <w:bCs/>
                <w:sz w:val="16"/>
                <w:szCs w:val="16"/>
              </w:rPr>
              <w:t>评测：满意</w:t>
            </w:r>
            <w:r>
              <w:rPr>
                <w:rFonts w:hint="eastAsia" w:ascii="仿宋_GB2312" w:hAnsi="仿宋_GB2312" w:eastAsia="仿宋_GB2312" w:cs="仿宋_GB2312"/>
                <w:b/>
                <w:bCs/>
                <w:sz w:val="16"/>
                <w:szCs w:val="16"/>
              </w:rPr>
              <w:t xml:space="preserve">        </w:t>
            </w:r>
            <w:r>
              <w:rPr>
                <w:rFonts w:hint="eastAsia"/>
                <w:b/>
                <w:bCs/>
                <w:sz w:val="16"/>
                <w:szCs w:val="16"/>
              </w:rPr>
              <w:t>烹饪综合：</w:t>
            </w:r>
            <w:r>
              <w:rPr>
                <w:rFonts w:hint="eastAsia" w:ascii="仿宋_GB2312" w:hAnsi="仿宋_GB2312" w:eastAsia="仿宋_GB2312" w:cs="仿宋_GB2312"/>
                <w:b/>
                <w:bCs/>
                <w:sz w:val="16"/>
                <w:szCs w:val="16"/>
              </w:rPr>
              <w:t>★★★★★</w:t>
            </w:r>
          </w:p>
        </w:tc>
        <w:tc>
          <w:tcPr>
            <w:tcW w:w="3727" w:type="dxa"/>
          </w:tcPr>
          <w:p>
            <w:pPr>
              <w:widowControl w:val="0"/>
              <w:snapToGrid w:val="0"/>
              <w:contextualSpacing/>
              <w:jc w:val="both"/>
              <w:rPr>
                <w:rFonts w:ascii="仿宋_GB2312" w:hAnsi="仿宋_GB2312" w:eastAsia="仿宋_GB2312" w:cs="仿宋_GB2312"/>
                <w:b/>
                <w:bCs/>
                <w:kern w:val="2"/>
                <w:sz w:val="32"/>
                <w:szCs w:val="32"/>
              </w:rPr>
            </w:pPr>
          </w:p>
        </w:tc>
      </w:tr>
    </w:tbl>
    <w:p>
      <w:pPr>
        <w:widowControl w:val="0"/>
        <w:snapToGrid w:val="0"/>
        <w:spacing w:line="578" w:lineRule="exact"/>
        <w:ind w:firstLine="640" w:firstLineChars="200"/>
        <w:contextualSpacing/>
        <w:jc w:val="both"/>
        <w:rPr>
          <w:rFonts w:ascii="黑体" w:hAnsi="黑体" w:eastAsia="黑体" w:cs="仿宋_GB2312"/>
          <w:sz w:val="32"/>
          <w:szCs w:val="32"/>
        </w:rPr>
      </w:pPr>
      <w:r>
        <w:rPr>
          <w:rFonts w:hint="eastAsia" w:ascii="黑体" w:hAnsi="黑体" w:eastAsia="黑体" w:cs="仿宋_GB2312"/>
          <w:sz w:val="32"/>
          <w:szCs w:val="32"/>
        </w:rPr>
        <w:t>四、消费提示</w:t>
      </w:r>
    </w:p>
    <w:p>
      <w:pPr>
        <w:snapToGrid w:val="0"/>
        <w:spacing w:line="578"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（一）选购</w:t>
      </w:r>
    </w:p>
    <w:p>
      <w:pPr>
        <w:pStyle w:val="87"/>
        <w:snapToGrid w:val="0"/>
        <w:spacing w:line="578" w:lineRule="exact"/>
        <w:ind w:firstLine="640" w:firstLineChars="200"/>
        <w:rPr>
          <w:rFonts w:hint="default" w:ascii="仿宋_GB2312" w:hAnsi="楷体" w:eastAsia="仿宋_GB2312"/>
          <w:sz w:val="32"/>
          <w:szCs w:val="32"/>
        </w:rPr>
      </w:pPr>
      <w:r>
        <w:rPr>
          <w:rFonts w:ascii="楷体_GB2312" w:hAnsi="楷体_GB2312" w:eastAsia="楷体_GB2312" w:cs="楷体_GB2312"/>
          <w:color w:val="000000"/>
          <w:kern w:val="0"/>
          <w:sz w:val="32"/>
          <w:szCs w:val="32"/>
        </w:rPr>
        <w:t>1.看产品的标识和说明。</w:t>
      </w:r>
      <w:r>
        <w:rPr>
          <w:rFonts w:ascii="仿宋_GB2312" w:hAnsi="楷体" w:eastAsia="仿宋_GB2312"/>
          <w:sz w:val="32"/>
          <w:szCs w:val="32"/>
        </w:rPr>
        <w:t>检查电饭煲产品是否有“CCC”认证标志、能效标签、产品使用说明书以及保修卡。产品标识应齐全，包括但不限于：制造商或销售商的名称、型号、额定电压、额定功率、额定容量等。产品的使用说明中应有使用操作的详细说明，功能标识说明，应有详细的维护保养方法等。</w:t>
      </w:r>
    </w:p>
    <w:p>
      <w:pPr>
        <w:pStyle w:val="87"/>
        <w:snapToGrid w:val="0"/>
        <w:spacing w:line="578" w:lineRule="exact"/>
        <w:ind w:firstLine="640" w:firstLineChars="200"/>
        <w:rPr>
          <w:rFonts w:hint="default" w:ascii="仿宋_GB2312" w:hAnsi="宋体" w:eastAsia="仿宋_GB2312" w:cs="黑体"/>
          <w:color w:val="000000"/>
          <w:kern w:val="0"/>
          <w:sz w:val="32"/>
          <w:szCs w:val="32"/>
        </w:rPr>
      </w:pPr>
      <w:r>
        <w:rPr>
          <w:rFonts w:ascii="楷体_GB2312" w:hAnsi="楷体_GB2312" w:eastAsia="楷体_GB2312" w:cs="楷体_GB2312"/>
          <w:color w:val="000000"/>
          <w:kern w:val="0"/>
          <w:sz w:val="32"/>
          <w:szCs w:val="32"/>
        </w:rPr>
        <w:t>2.观察产品的外观。</w:t>
      </w:r>
      <w:r>
        <w:rPr>
          <w:rFonts w:ascii="仿宋_GB2312" w:hAnsi="宋体" w:eastAsia="仿宋_GB2312" w:cs="黑体"/>
          <w:color w:val="000000"/>
          <w:kern w:val="0"/>
          <w:sz w:val="32"/>
          <w:szCs w:val="32"/>
        </w:rPr>
        <w:t>查看外观有无划伤、变形；各零部件的接合处是否光滑、整齐；不粘锅涂层是否均匀；内锅锅体是否圆正且无刮痕或外伤；内锅锅体是否与锅底电热板接触良好，锅盖和内锅的配合是否严密。同时应特别检查电源线、控制面板的是否完整可靠，不应有松垮情况。</w:t>
      </w:r>
    </w:p>
    <w:p>
      <w:pPr>
        <w:pStyle w:val="87"/>
        <w:snapToGrid w:val="0"/>
        <w:spacing w:line="578" w:lineRule="exact"/>
        <w:ind w:firstLine="640" w:firstLineChars="200"/>
        <w:rPr>
          <w:rFonts w:hint="default" w:ascii="仿宋_GB2312" w:hAnsi="宋体" w:eastAsia="仿宋_GB2312" w:cs="黑体"/>
          <w:color w:val="000000"/>
          <w:kern w:val="0"/>
          <w:sz w:val="32"/>
          <w:szCs w:val="32"/>
        </w:rPr>
      </w:pPr>
      <w:r>
        <w:rPr>
          <w:rFonts w:ascii="楷体_GB2312" w:hAnsi="楷体_GB2312" w:eastAsia="楷体_GB2312" w:cs="楷体_GB2312"/>
          <w:color w:val="000000"/>
          <w:kern w:val="0"/>
          <w:sz w:val="32"/>
          <w:szCs w:val="32"/>
        </w:rPr>
        <w:t>3.根据实际需求选购。</w:t>
      </w:r>
      <w:r>
        <w:rPr>
          <w:rFonts w:ascii="仿宋_GB2312" w:hAnsi="楷体" w:eastAsia="仿宋_GB2312"/>
          <w:sz w:val="32"/>
          <w:szCs w:val="32"/>
        </w:rPr>
        <w:t>电饭煲</w:t>
      </w:r>
      <w:r>
        <w:rPr>
          <w:rFonts w:ascii="仿宋_GB2312" w:hAnsi="宋体" w:eastAsia="仿宋_GB2312" w:cs="黑体"/>
          <w:color w:val="000000"/>
          <w:kern w:val="0"/>
          <w:sz w:val="32"/>
          <w:szCs w:val="32"/>
        </w:rPr>
        <w:t>产品分机械式电饭煲和微电脑式电饭煲。除价格方面前者较低，后者较高外；选购时也可根据实际操作简易性和选择功能档位的便捷性、直观性来考虑而定。另外要根据家庭人口数量选购规格。通常2－3人的家庭宜选择3升的产品；3－5人的家庭宜选择4升的产品；6人以上的家庭宜选择5升或以上容量的产品。</w:t>
      </w:r>
    </w:p>
    <w:p>
      <w:pPr>
        <w:pStyle w:val="87"/>
        <w:snapToGrid w:val="0"/>
        <w:spacing w:line="578" w:lineRule="exact"/>
        <w:ind w:firstLine="640" w:firstLineChars="200"/>
        <w:rPr>
          <w:rFonts w:hint="default" w:ascii="仿宋_GB2312" w:hAnsi="宋体" w:eastAsia="仿宋_GB2312" w:cs="黑体"/>
          <w:color w:val="000000"/>
          <w:kern w:val="0"/>
          <w:sz w:val="32"/>
          <w:szCs w:val="32"/>
        </w:rPr>
      </w:pPr>
      <w:r>
        <w:rPr>
          <w:rFonts w:ascii="楷体_GB2312" w:hAnsi="楷体_GB2312" w:eastAsia="楷体_GB2312" w:cs="楷体_GB2312"/>
          <w:color w:val="000000"/>
          <w:kern w:val="0"/>
          <w:sz w:val="32"/>
          <w:szCs w:val="32"/>
        </w:rPr>
        <w:t>4.选品牌，不跟风。</w:t>
      </w:r>
      <w:r>
        <w:rPr>
          <w:rFonts w:ascii="仿宋_GB2312" w:hAnsi="宋体" w:eastAsia="仿宋_GB2312" w:cs="黑体"/>
          <w:color w:val="000000"/>
          <w:kern w:val="0"/>
          <w:sz w:val="32"/>
          <w:szCs w:val="32"/>
        </w:rPr>
        <w:t>线下购买时，尽量在大型商场、连锁超市选购；线上应在大型知名电商平台选购。优先选购销售规模较大、产品质量和服务质量较好；知名度较高企业的产品。有些价格过于低的产品，可能存在容量以小充大、能效等级虚标的情况，应谨慎选择。对于海淘产品，要充分考虑国内外电网电压的差异，注意产品插头和产品电压是否符合国内电网要求，避免因不合适造成产品损坏、引发火灾等安全事故。</w:t>
      </w:r>
    </w:p>
    <w:p>
      <w:pPr>
        <w:snapToGrid w:val="0"/>
        <w:spacing w:line="578"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color w:val="000000"/>
          <w:sz w:val="32"/>
          <w:szCs w:val="32"/>
        </w:rPr>
        <w:t>5.注重操作便捷性。</w:t>
      </w:r>
      <w:r>
        <w:rPr>
          <w:rFonts w:hint="eastAsia" w:ascii="仿宋_GB2312" w:hAnsi="宋体" w:eastAsia="仿宋_GB2312" w:cs="黑体"/>
          <w:color w:val="000000"/>
          <w:sz w:val="32"/>
          <w:szCs w:val="32"/>
        </w:rPr>
        <w:t>选购电饭煲时，应选择上盖容易清洁（包括拆卸、清洁等步骤）、日常操作步骤较简单、操作逻辑较清晰的产品，以保证良好的用户体验感。</w:t>
      </w:r>
    </w:p>
    <w:p>
      <w:pPr>
        <w:snapToGrid w:val="0"/>
        <w:spacing w:line="578"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（二）使用及维护</w:t>
      </w:r>
    </w:p>
    <w:p>
      <w:pPr>
        <w:snapToGrid w:val="0"/>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使用电饭煲之前，应认真阅读产品使用说明书，了解产品的使用注意事项和各种功能。将插头接入电源插座之前，应保持电饭煲内胆和电热盘之间的清洁，避免出现水点、饭粒等现象，这样不仅会影响煮饭的效果，还可能会引起电饭煲的故障。使用电饭煲之前取出内锅时、清洁或保养电饭煲前，先拔下电源插头。</w:t>
      </w:r>
    </w:p>
    <w:p>
      <w:pPr>
        <w:snapToGrid w:val="0"/>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2.按照说明书上的米水比例进行烹饪，注意米水量不得超过最大水位线。通电前用干布将内锅外围及底部擦干，内锅外围及底部潮湿的情况下煮饭，会产生噪音，还可能导致电饭煲故障。</w:t>
      </w:r>
    </w:p>
    <w:p>
      <w:pPr>
        <w:snapToGrid w:val="0"/>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3.注意煮饭期间从蒸汽孔排出或在打开面盖时从电饭煲中冒出的热蒸汽，手和脸不要靠近电饭煲，以免被蒸汽烫伤。</w:t>
      </w:r>
    </w:p>
    <w:p>
      <w:pPr>
        <w:snapToGrid w:val="0"/>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4.</w:t>
      </w:r>
      <w:r>
        <w:rPr>
          <w:rFonts w:ascii="仿宋_GB2312" w:hAnsi="宋体" w:eastAsia="仿宋_GB2312"/>
          <w:color w:val="000000"/>
          <w:sz w:val="32"/>
          <w:szCs w:val="32"/>
        </w:rPr>
        <w:t>请勿用水冲洗或浸泡产品，以免进水导致内部带电部件生锈或绝缘损坏</w:t>
      </w:r>
      <w:r>
        <w:rPr>
          <w:rFonts w:hint="eastAsia" w:ascii="仿宋_GB2312" w:hAnsi="宋体" w:eastAsia="仿宋_GB2312"/>
          <w:color w:val="000000"/>
          <w:sz w:val="32"/>
          <w:szCs w:val="32"/>
        </w:rPr>
        <w:t>。避免将电饭煲放在容易被水喷溅、</w:t>
      </w:r>
      <w:r>
        <w:rPr>
          <w:rFonts w:hint="eastAsia" w:ascii="仿宋_GB2312" w:hAnsi="楷体" w:eastAsia="仿宋_GB2312"/>
          <w:kern w:val="2"/>
          <w:sz w:val="32"/>
          <w:szCs w:val="32"/>
        </w:rPr>
        <w:t>有腐蚀性气体或潮湿的地方，保障电饭煲的使用安全</w:t>
      </w:r>
      <w:r>
        <w:rPr>
          <w:rFonts w:hint="eastAsia" w:ascii="仿宋_GB2312" w:hAnsi="宋体" w:eastAsia="仿宋_GB2312"/>
          <w:color w:val="000000"/>
          <w:sz w:val="32"/>
          <w:szCs w:val="32"/>
        </w:rPr>
        <w:t>。</w:t>
      </w:r>
    </w:p>
    <w:p>
      <w:pPr>
        <w:snapToGrid w:val="0"/>
        <w:spacing w:line="578"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5.</w:t>
      </w:r>
      <w:r>
        <w:rPr>
          <w:rFonts w:ascii="仿宋_GB2312" w:hAnsi="宋体" w:eastAsia="仿宋_GB2312"/>
          <w:color w:val="000000"/>
          <w:sz w:val="32"/>
          <w:szCs w:val="32"/>
        </w:rPr>
        <w:t>请勿使用金属刷、</w:t>
      </w:r>
      <w:r>
        <w:rPr>
          <w:rFonts w:hint="eastAsia" w:ascii="仿宋_GB2312" w:hAnsi="宋体" w:eastAsia="仿宋_GB2312"/>
          <w:color w:val="000000"/>
          <w:sz w:val="32"/>
          <w:szCs w:val="32"/>
        </w:rPr>
        <w:t>钢丝球、</w:t>
      </w:r>
      <w:r>
        <w:rPr>
          <w:rFonts w:ascii="仿宋_GB2312" w:hAnsi="宋体" w:eastAsia="仿宋_GB2312"/>
          <w:color w:val="000000"/>
          <w:sz w:val="32"/>
          <w:szCs w:val="32"/>
        </w:rPr>
        <w:t>稀释剂、强力清洁剂等</w:t>
      </w:r>
      <w:r>
        <w:rPr>
          <w:rFonts w:hint="eastAsia" w:ascii="仿宋_GB2312" w:hAnsi="宋体" w:eastAsia="仿宋_GB2312"/>
          <w:color w:val="000000"/>
          <w:sz w:val="32"/>
          <w:szCs w:val="32"/>
        </w:rPr>
        <w:t>产品</w:t>
      </w:r>
      <w:r>
        <w:rPr>
          <w:rFonts w:ascii="仿宋_GB2312" w:hAnsi="宋体" w:eastAsia="仿宋_GB2312"/>
          <w:color w:val="000000"/>
          <w:sz w:val="32"/>
          <w:szCs w:val="32"/>
        </w:rPr>
        <w:t>清洁</w:t>
      </w:r>
      <w:r>
        <w:rPr>
          <w:rFonts w:hint="eastAsia" w:ascii="仿宋_GB2312" w:hAnsi="宋体" w:eastAsia="仿宋_GB2312"/>
          <w:color w:val="000000"/>
          <w:sz w:val="32"/>
          <w:szCs w:val="32"/>
        </w:rPr>
        <w:t>内胆</w:t>
      </w:r>
      <w:r>
        <w:rPr>
          <w:rFonts w:ascii="仿宋_GB2312" w:hAnsi="宋体" w:eastAsia="仿宋_GB2312"/>
          <w:color w:val="000000"/>
          <w:sz w:val="32"/>
          <w:szCs w:val="32"/>
        </w:rPr>
        <w:t>，</w:t>
      </w:r>
      <w:r>
        <w:rPr>
          <w:rFonts w:hint="eastAsia" w:ascii="仿宋_GB2312" w:hAnsi="宋体" w:eastAsia="仿宋_GB2312"/>
          <w:color w:val="000000"/>
          <w:sz w:val="32"/>
          <w:szCs w:val="32"/>
        </w:rPr>
        <w:t>避免内胆</w:t>
      </w:r>
      <w:r>
        <w:rPr>
          <w:rFonts w:ascii="仿宋_GB2312" w:hAnsi="宋体" w:eastAsia="仿宋_GB2312"/>
          <w:color w:val="000000"/>
          <w:sz w:val="32"/>
          <w:szCs w:val="32"/>
        </w:rPr>
        <w:t>涂层破损或</w:t>
      </w:r>
      <w:r>
        <w:rPr>
          <w:rFonts w:hint="eastAsia" w:ascii="仿宋_GB2312" w:hAnsi="宋体" w:eastAsia="仿宋_GB2312"/>
          <w:color w:val="000000"/>
          <w:sz w:val="32"/>
          <w:szCs w:val="32"/>
        </w:rPr>
        <w:t>脱落；平常不要用电饭煲煮强酸或强碱性食物，以防腐蚀内胆；定期清洁和保养电饭煲，建议经常清洗蒸汽阀，避免使用时出现蒸汽阀堵塞、溢出等情况。</w:t>
      </w:r>
    </w:p>
    <w:p>
      <w:pPr>
        <w:widowControl w:val="0"/>
        <w:spacing w:line="578" w:lineRule="exact"/>
        <w:ind w:firstLine="640" w:firstLineChars="200"/>
        <w:contextualSpacing/>
        <w:jc w:val="both"/>
        <w:rPr>
          <w:rFonts w:ascii="仿宋" w:hAnsi="仿宋" w:eastAsia="仿宋" w:cs="仿宋"/>
          <w:sz w:val="32"/>
          <w:szCs w:val="32"/>
        </w:rPr>
        <w:sectPr>
          <w:footerReference r:id="rId3" w:type="default"/>
          <w:pgSz w:w="11906" w:h="16838"/>
          <w:pgMar w:top="2098" w:right="1474" w:bottom="1984" w:left="1587" w:header="851" w:footer="992" w:gutter="0"/>
          <w:pgNumType w:fmt="numberInDash"/>
          <w:cols w:space="425" w:num="1"/>
          <w:docGrid w:type="lines" w:linePitch="326" w:charSpace="0"/>
        </w:sectPr>
      </w:pPr>
    </w:p>
    <w:p>
      <w:pPr>
        <w:widowControl w:val="0"/>
        <w:adjustRightInd w:val="0"/>
        <w:snapToGrid w:val="0"/>
        <w:jc w:val="center"/>
        <w:rPr>
          <w:rFonts w:ascii="Times New Roman" w:hAnsi="华文中宋" w:eastAsia="华文中宋"/>
          <w:b/>
          <w:kern w:val="2"/>
          <w:sz w:val="36"/>
          <w:szCs w:val="36"/>
        </w:rPr>
      </w:pPr>
      <w:r>
        <w:rPr>
          <w:rFonts w:hint="eastAsia" w:ascii="方正小标宋简体" w:hAnsi="方正小标宋简体" w:eastAsia="方正小标宋简体" w:cs="方正小标宋简体"/>
          <w:b/>
          <w:kern w:val="2"/>
        </w:rPr>
        <w:t>京津冀三地消协组织电饭煲比较试验结果汇总表</w:t>
      </w:r>
    </w:p>
    <w:p>
      <w:pPr>
        <w:widowControl w:val="0"/>
        <w:adjustRightInd w:val="0"/>
        <w:snapToGrid w:val="0"/>
        <w:jc w:val="center"/>
        <w:rPr>
          <w:rFonts w:ascii="Times New Roman" w:hAnsi="华文中宋" w:eastAsia="华文中宋"/>
          <w:b/>
          <w:kern w:val="2"/>
          <w:sz w:val="36"/>
          <w:szCs w:val="36"/>
        </w:rPr>
      </w:pPr>
      <w:r>
        <w:rPr>
          <w:rFonts w:hint="eastAsia" w:ascii="Times New Roman" w:hAnsi="华文中宋" w:eastAsia="华文中宋"/>
          <w:b/>
          <w:kern w:val="2"/>
          <w:sz w:val="36"/>
          <w:szCs w:val="36"/>
        </w:rPr>
        <w:drawing>
          <wp:inline distT="0" distB="0" distL="0" distR="0">
            <wp:extent cx="9277350" cy="5238750"/>
            <wp:effectExtent l="0" t="0" r="0" b="0"/>
            <wp:docPr id="1065" name="图片 18" descr="/home/scjgj/Desktop/检测数据汇总表-电饭煲（整体汇总）-最终修改用图_汇总表-消协电饭煲 (评测).png检测数据汇总表-电饭煲（整体汇总）-最终修改用图_汇总表-消协电饭煲 (评测)"/>
            <wp:cNvGraphicFramePr/>
            <a:graphic xmlns:a="http://schemas.openxmlformats.org/drawingml/2006/main">
              <a:graphicData uri="http://schemas.openxmlformats.org/drawingml/2006/picture">
                <pic:pic xmlns:pic="http://schemas.openxmlformats.org/drawingml/2006/picture">
                  <pic:nvPicPr>
                    <pic:cNvPr id="1065" name="图片 18" descr="/home/scjgj/Desktop/检测数据汇总表-电饭煲（整体汇总）-最终修改用图_汇总表-消协电饭煲 (评测).png检测数据汇总表-电饭煲（整体汇总）-最终修改用图_汇总表-消协电饭煲 (评测)"/>
                    <pic:cNvPicPr/>
                  </pic:nvPicPr>
                  <pic:blipFill>
                    <a:blip r:embed="rId46" cstate="print"/>
                    <a:srcRect t="7" b="7"/>
                    <a:stretch>
                      <a:fillRect/>
                    </a:stretch>
                  </pic:blipFill>
                  <pic:spPr>
                    <a:xfrm>
                      <a:off x="0" y="0"/>
                      <a:ext cx="9277350" cy="5238750"/>
                    </a:xfrm>
                    <a:prstGeom prst="rect">
                      <a:avLst/>
                    </a:prstGeom>
                  </pic:spPr>
                </pic:pic>
              </a:graphicData>
            </a:graphic>
          </wp:inline>
        </w:drawing>
      </w:r>
    </w:p>
    <w:p>
      <w:pPr>
        <w:widowControl w:val="0"/>
        <w:adjustRightInd w:val="0"/>
        <w:snapToGrid w:val="0"/>
        <w:jc w:val="center"/>
        <w:rPr>
          <w:rFonts w:ascii="Times New Roman" w:hAnsi="华文中宋" w:eastAsia="华文中宋"/>
          <w:b/>
          <w:kern w:val="2"/>
          <w:sz w:val="36"/>
          <w:szCs w:val="36"/>
        </w:rPr>
        <w:sectPr>
          <w:headerReference r:id="rId4" w:type="default"/>
          <w:footerReference r:id="rId5" w:type="default"/>
          <w:pgSz w:w="16840" w:h="11850" w:orient="landscape"/>
          <w:pgMar w:top="1440" w:right="1080" w:bottom="1440" w:left="1080" w:header="851" w:footer="992" w:gutter="0"/>
          <w:pgNumType w:fmt="numberInDash"/>
          <w:cols w:space="425" w:num="1"/>
          <w:docGrid w:type="linesAndChars" w:linePitch="326" w:charSpace="0"/>
        </w:sectPr>
      </w:pPr>
    </w:p>
    <w:p>
      <w:pPr>
        <w:widowControl w:val="0"/>
        <w:adjustRightInd w:val="0"/>
        <w:snapToGrid w:val="0"/>
        <w:jc w:val="center"/>
        <w:rPr>
          <w:rFonts w:ascii="方正小标宋简体" w:hAnsi="方正小标宋简体" w:eastAsia="方正小标宋简体" w:cs="方正小标宋简体"/>
          <w:b/>
          <w:kern w:val="2"/>
        </w:rPr>
      </w:pPr>
      <w:r>
        <w:rPr>
          <w:rFonts w:hint="eastAsia" w:ascii="方正小标宋简体" w:hAnsi="方正小标宋简体" w:eastAsia="方正小标宋简体" w:cs="方正小标宋简体"/>
          <w:b/>
          <w:kern w:val="2"/>
        </w:rPr>
        <w:t>京津冀三地消协组织电饭煲比较试验结果汇总表</w:t>
      </w:r>
    </w:p>
    <w:p>
      <w:pPr>
        <w:widowControl w:val="0"/>
        <w:adjustRightInd w:val="0"/>
        <w:snapToGrid w:val="0"/>
        <w:jc w:val="center"/>
        <w:rPr>
          <w:rFonts w:ascii="方正小标宋简体" w:hAnsi="方正小标宋简体" w:eastAsia="方正小标宋简体" w:cs="方正小标宋简体"/>
          <w:b/>
          <w:kern w:val="2"/>
        </w:rPr>
      </w:pPr>
      <w:r>
        <w:rPr>
          <w:rFonts w:hint="eastAsia" w:ascii="方正小标宋简体" w:hAnsi="方正小标宋简体" w:eastAsia="方正小标宋简体" w:cs="方正小标宋简体"/>
          <w:b/>
          <w:kern w:val="2"/>
        </w:rPr>
        <w:drawing>
          <wp:inline distT="0" distB="0" distL="0" distR="0">
            <wp:extent cx="9274810" cy="5299710"/>
            <wp:effectExtent l="0" t="0" r="2540" b="15240"/>
            <wp:docPr id="1066" name="图片 37" descr="/home/scjgj/Desktop/检测数据汇总表-电饭煲（整体汇总）-最终修改用图_汇总表-消协电饭煲 (性能).png检测数据汇总表-电饭煲（整体汇总）-最终修改用图_汇总表-消协电饭煲 (性能)"/>
            <wp:cNvGraphicFramePr/>
            <a:graphic xmlns:a="http://schemas.openxmlformats.org/drawingml/2006/main">
              <a:graphicData uri="http://schemas.openxmlformats.org/drawingml/2006/picture">
                <pic:pic xmlns:pic="http://schemas.openxmlformats.org/drawingml/2006/picture">
                  <pic:nvPicPr>
                    <pic:cNvPr id="1066" name="图片 37" descr="/home/scjgj/Desktop/检测数据汇总表-电饭煲（整体汇总）-最终修改用图_汇总表-消协电饭煲 (性能).png检测数据汇总表-电饭煲（整体汇总）-最终修改用图_汇总表-消协电饭煲 (性能)"/>
                    <pic:cNvPicPr/>
                  </pic:nvPicPr>
                  <pic:blipFill>
                    <a:blip r:embed="rId47" cstate="print"/>
                    <a:srcRect t="3" b="3"/>
                    <a:stretch>
                      <a:fillRect/>
                    </a:stretch>
                  </pic:blipFill>
                  <pic:spPr>
                    <a:xfrm>
                      <a:off x="0" y="0"/>
                      <a:ext cx="9274810" cy="5299710"/>
                    </a:xfrm>
                    <a:prstGeom prst="rect">
                      <a:avLst/>
                    </a:prstGeom>
                  </pic:spPr>
                </pic:pic>
              </a:graphicData>
            </a:graphic>
          </wp:inline>
        </w:drawing>
      </w:r>
    </w:p>
    <w:p>
      <w:pPr>
        <w:widowControl w:val="0"/>
        <w:adjustRightInd w:val="0"/>
        <w:snapToGrid w:val="0"/>
        <w:jc w:val="center"/>
      </w:pPr>
      <w:r>
        <w:rPr>
          <w:b/>
          <w:bCs/>
          <w:sz w:val="21"/>
          <w:szCs w:val="21"/>
        </w:rPr>
        <mc:AlternateContent>
          <mc:Choice Requires="wps">
            <w:drawing>
              <wp:anchor distT="0" distB="0" distL="0" distR="0" simplePos="0" relativeHeight="1024" behindDoc="0" locked="0" layoutInCell="1" allowOverlap="1">
                <wp:simplePos x="0" y="0"/>
                <wp:positionH relativeFrom="column">
                  <wp:posOffset>2071370</wp:posOffset>
                </wp:positionH>
                <wp:positionV relativeFrom="paragraph">
                  <wp:posOffset>-5883275</wp:posOffset>
                </wp:positionV>
                <wp:extent cx="5225415" cy="351790"/>
                <wp:effectExtent l="0" t="0" r="13335" b="10160"/>
                <wp:wrapNone/>
                <wp:docPr id="1" name="1067"/>
                <wp:cNvGraphicFramePr/>
                <a:graphic xmlns:a="http://schemas.openxmlformats.org/drawingml/2006/main">
                  <a:graphicData uri="http://schemas.microsoft.com/office/word/2010/wordprocessingShape">
                    <wps:wsp>
                      <wps:cNvSpPr txBox="true"/>
                      <wps:spPr>
                        <a:xfrm>
                          <a:off x="0" y="0"/>
                          <a:ext cx="5225415" cy="351790"/>
                        </a:xfrm>
                        <a:prstGeom prst="rect">
                          <a:avLst/>
                        </a:prstGeom>
                        <a:solidFill>
                          <a:srgbClr val="FFFFFF"/>
                        </a:solidFill>
                        <a:ln>
                          <a:noFill/>
                        </a:ln>
                      </wps:spPr>
                      <wps:txbx>
                        <w:txbxContent>
                          <w:p>
                            <w:pPr>
                              <w:widowControl w:val="0"/>
                              <w:adjustRightInd w:val="0"/>
                              <w:snapToGrid w:val="0"/>
                              <w:jc w:val="center"/>
                              <w:rPr>
                                <w:rFonts w:ascii="方正小标宋简体" w:hAnsi="方正小标宋简体" w:eastAsia="方正小标宋简体" w:cs="方正小标宋简体"/>
                                <w:b/>
                                <w:kern w:val="2"/>
                              </w:rPr>
                            </w:pPr>
                            <w:r>
                              <w:rPr>
                                <w:rFonts w:hint="eastAsia" w:ascii="方正小标宋简体" w:hAnsi="方正小标宋简体" w:eastAsia="方正小标宋简体" w:cs="方正小标宋简体"/>
                                <w:b/>
                                <w:kern w:val="2"/>
                              </w:rPr>
                              <w:t>京津冀三地消协组织电饭煲比较试验性能评价表</w:t>
                            </w:r>
                          </w:p>
                        </w:txbxContent>
                      </wps:txbx>
                      <wps:bodyPr upright="true"/>
                    </wps:wsp>
                  </a:graphicData>
                </a:graphic>
              </wp:anchor>
            </w:drawing>
          </mc:Choice>
          <mc:Fallback>
            <w:pict>
              <v:shape id="1067" o:spid="_x0000_s1026" o:spt="202" type="#_x0000_t202" style="position:absolute;left:0pt;margin-left:163.1pt;margin-top:-463.25pt;height:27.7pt;width:411.45pt;z-index:1024;mso-width-relative:page;mso-height-relative:page;" fillcolor="#FFFFFF" filled="t" stroked="f" coordsize="21600,21600" o:gfxdata="UEsFBgAAAAAAAAAAAAAAAAAAAAAAAFBLAwQKAAAAAACHTuJAAAAAAAAAAAAAAAAABAAAAGRycy9Q&#10;SwMEFAAAAAgAh07iQEFeSqPbAAAADgEAAA8AAABkcnMvZG93bnJldi54bWxNj8tugzAQRfeV+g/W&#10;VOqmSoxpAoFiIrVSq27z+IABJoCKxwg7Ifn7Oqt2OTNHd84ttlcziAtNrresQS0jEMS1bXpuNRwP&#10;n4sNCOeRGxwsk4YbOdiWjw8F5o2deUeXvW9FCGGXo4bO+zGX0tUdGXRLOxKH28lOBn0Yp1Y2E84h&#10;3AwyjqJEGuw5fOhwpI+O6p/92Wg4fc8v62yuvvwx3a2Sd+zTyt60fn5S0RsIT1f/B8NdP6hDGZwq&#10;e+bGiUHDa5zEAdWwyOJkDeKOqFWmQFRht0mVAlkW8n+N8hdQSwMEFAAAAAgAh07iQMC7S7SYAQAA&#10;KAMAAA4AAABkcnMvZTJvRG9jLnhtbK1Sy27bMBC8F+g/ELzXktw6SQXLAdrAvQRtgSQfQFOkRIDk&#10;Ekvakv++S/qRtrkV1WFF7mN2Z5br+9lZdlAYDfiON4uaM+Ul9MYPHX953n644ywm4XthwauOH1Xk&#10;95v379ZTaNUSRrC9QkYgPrZT6PiYUmirKspROREXEJSnoAZ0ItEVh6pHMRG6s9Wyrm+qCbAPCFLF&#10;SN6HU5BvCr7WSqYfWkeVmO04zZaKxWJ32VabtWgHFGE08jyG+IcpnDCeml6hHkQSbI/mDZQzEiGC&#10;TgsJrgKtjVSFA7Fp6r/YPI0iqMKFxInhKlP8f7Dy++EnMtPT7jjzwtGKmvrmNusyhdhS+ClQQpq/&#10;wNzxhHt1CUXyZ8azRpf/xIVRCol8vAqr5sQkOVfL5epTs+JMUuzjqrn9XJSvXqsDxvRNgWP50HGk&#10;xRU9xeExJhqGUi8puVkEa/qtsbZccNh9tcgOgpa8LV8ekkr+SLM+J3vIZadw9lSZ5olLPqV5N5+5&#10;76A/EvV9QDOMNNOFfKmgdZQO56eT9/37veC+PvD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BYAAABkcnMvUEsBAhQAFAAAAAgAh07iQEFe&#10;SqPbAAAADgEAAA8AAAAAAAAAAQAgAAAAOAAAAGRycy9kb3ducmV2LnhtbFBLAQIUABQAAAAIAIdO&#10;4kDAu0u0mAEAACgDAAAOAAAAAAAAAAEAIAAAAEABAABkcnMvZTJvRG9jLnhtbFBLBQYAAAAABgAG&#10;AFkBAABKBQAAAAA=&#10;">
                <v:fill on="t" focussize="0,0"/>
                <v:stroke on="f"/>
                <v:imagedata o:title=""/>
                <o:lock v:ext="edit" aspectratio="f"/>
                <v:textbox>
                  <w:txbxContent>
                    <w:p>
                      <w:pPr>
                        <w:widowControl w:val="0"/>
                        <w:adjustRightInd w:val="0"/>
                        <w:snapToGrid w:val="0"/>
                        <w:jc w:val="center"/>
                        <w:rPr>
                          <w:rFonts w:ascii="方正小标宋简体" w:hAnsi="方正小标宋简体" w:eastAsia="方正小标宋简体" w:cs="方正小标宋简体"/>
                          <w:b/>
                          <w:kern w:val="2"/>
                        </w:rPr>
                      </w:pPr>
                      <w:r>
                        <w:rPr>
                          <w:rFonts w:hint="eastAsia" w:ascii="方正小标宋简体" w:hAnsi="方正小标宋简体" w:eastAsia="方正小标宋简体" w:cs="方正小标宋简体"/>
                          <w:b/>
                          <w:kern w:val="2"/>
                        </w:rPr>
                        <w:t>京津冀三地消协组织电饭煲比较试验性能评价表</w:t>
                      </w:r>
                    </w:p>
                  </w:txbxContent>
                </v:textbox>
              </v:shape>
            </w:pict>
          </mc:Fallback>
        </mc:AlternateContent>
      </w:r>
      <w:r>
        <w:rPr>
          <w:rFonts w:hint="eastAsia"/>
        </w:rPr>
        <w:drawing>
          <wp:anchor distT="0" distB="0" distL="0" distR="0" simplePos="0" relativeHeight="1024" behindDoc="0" locked="0" layoutInCell="1" allowOverlap="1">
            <wp:simplePos x="0" y="0"/>
            <wp:positionH relativeFrom="column">
              <wp:posOffset>-120650</wp:posOffset>
            </wp:positionH>
            <wp:positionV relativeFrom="paragraph">
              <wp:posOffset>181610</wp:posOffset>
            </wp:positionV>
            <wp:extent cx="9563100" cy="5506720"/>
            <wp:effectExtent l="0" t="0" r="0" b="17780"/>
            <wp:wrapTopAndBottom/>
            <wp:docPr id="1068" name="图片 29" descr="/home/scjgj/Desktop/检测数据汇总表-电饭煲（整体汇总）-最终修改用图_汇总表-消协电饭煲 (烹饪).png检测数据汇总表-电饭煲（整体汇总）-最终修改用图_汇总表-消协电饭煲 (烹饪)"/>
            <wp:cNvGraphicFramePr/>
            <a:graphic xmlns:a="http://schemas.openxmlformats.org/drawingml/2006/main">
              <a:graphicData uri="http://schemas.openxmlformats.org/drawingml/2006/picture">
                <pic:pic xmlns:pic="http://schemas.openxmlformats.org/drawingml/2006/picture">
                  <pic:nvPicPr>
                    <pic:cNvPr id="1068" name="图片 29" descr="/home/scjgj/Desktop/检测数据汇总表-电饭煲（整体汇总）-最终修改用图_汇总表-消协电饭煲 (烹饪).png检测数据汇总表-电饭煲（整体汇总）-最终修改用图_汇总表-消协电饭煲 (烹饪)"/>
                    <pic:cNvPicPr/>
                  </pic:nvPicPr>
                  <pic:blipFill>
                    <a:blip r:embed="rId48" cstate="print"/>
                    <a:srcRect t="3" b="3"/>
                    <a:stretch>
                      <a:fillRect/>
                    </a:stretch>
                  </pic:blipFill>
                  <pic:spPr>
                    <a:xfrm>
                      <a:off x="0" y="0"/>
                      <a:ext cx="9563100" cy="5506720"/>
                    </a:xfrm>
                    <a:prstGeom prst="rect">
                      <a:avLst/>
                    </a:prstGeom>
                  </pic:spPr>
                </pic:pic>
              </a:graphicData>
            </a:graphic>
          </wp:anchor>
        </w:drawing>
      </w:r>
    </w:p>
    <w:sectPr>
      <w:pgSz w:w="16840" w:h="11850" w:orient="landscape"/>
      <w:pgMar w:top="1440" w:right="1080" w:bottom="1440" w:left="1080" w:header="851" w:footer="992" w:gutter="0"/>
      <w:pgNumType w:fmt="numberInDash"/>
      <w:cols w:space="425" w:num="1"/>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004030204"/>
    <w:charset w:val="00"/>
    <w:family w:val="roman"/>
    <w:pitch w:val="default"/>
    <w:sig w:usb0="00000000" w:usb1="00000000" w:usb2="00000000" w:usb3="00000000" w:csb0="0000019F" w:csb1="00000000"/>
  </w:font>
  <w:font w:name="Tahoma">
    <w:altName w:val="DejaVu Sans"/>
    <w:panose1 w:val="020B0604030005040204"/>
    <w:charset w:val="00"/>
    <w:family w:val="swiss"/>
    <w:pitch w:val="default"/>
    <w:sig w:usb0="00000000" w:usb1="00000000" w:usb2="00000029" w:usb3="00000000" w:csb0="000101FF" w:csb1="00000000"/>
  </w:font>
  <w:font w:name="等线">
    <w:altName w:val="方正细黑一_GBK"/>
    <w:panose1 w:val="00000000000000000000"/>
    <w:charset w:val="86"/>
    <w:family w:val="auto"/>
    <w:pitch w:val="default"/>
    <w:sig w:usb0="00000000" w:usb1="00000000" w:usb2="00000016" w:usb3="00000000" w:csb0="0004000F" w:csb1="00000000"/>
  </w:font>
  <w:font w:name="微软雅黑">
    <w:altName w:val="方正黑体_GBK"/>
    <w:panose1 w:val="020B0503020002020204"/>
    <w:charset w:val="86"/>
    <w:family w:val="swiss"/>
    <w:pitch w:val="default"/>
    <w:sig w:usb0="00000000" w:usb1="00000000" w:usb2="00000016" w:usb3="00000000" w:csb0="0004001F" w:csb1="00000000"/>
  </w:font>
  <w:font w:name="等线 Light">
    <w:altName w:val="方正细黑一_GBK"/>
    <w:panose1 w:val="00000000000000000000"/>
    <w:charset w:val="86"/>
    <w:family w:val="auto"/>
    <w:pitch w:val="default"/>
    <w:sig w:usb0="00000000" w:usb1="00000000" w:usb2="00000016" w:usb3="00000000" w:csb0="0004000F" w:csb1="00000000"/>
  </w:font>
  <w:font w:name="Calibri Light">
    <w:altName w:val="DejaVu Sans"/>
    <w:panose1 w:val="020F0302020002030204"/>
    <w:charset w:val="00"/>
    <w:family w:val="swiss"/>
    <w:pitch w:val="default"/>
    <w:sig w:usb0="00000000" w:usb1="00000000" w:usb2="00000000"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001010101"/>
    <w:charset w:val="86"/>
    <w:family w:val="auto"/>
    <w:pitch w:val="default"/>
    <w:sig w:usb0="00000000" w:usb1="00000000" w:usb2="00000000" w:usb3="00000000" w:csb0="00040000" w:csb1="00000000"/>
  </w:font>
  <w:font w:name="楷体">
    <w:altName w:val="方正楷体_GBK"/>
    <w:panose1 w:val="02010609060001010101"/>
    <w:charset w:val="86"/>
    <w:family w:val="modern"/>
    <w:pitch w:val="default"/>
    <w:sig w:usb0="00000000" w:usb1="00000000" w:usb2="00000016" w:usb3="00000000" w:csb0="00040001" w:csb1="00000000"/>
  </w:font>
  <w:font w:name="楷体_GB2312">
    <w:altName w:val="方正楷体_GBK"/>
    <w:panose1 w:val="02010609030001010101"/>
    <w:charset w:val="86"/>
    <w:family w:val="modern"/>
    <w:pitch w:val="default"/>
    <w:sig w:usb0="00000000" w:usb1="00000000" w:usb2="00000000" w:usb3="00000000" w:csb0="00040000" w:csb1="00000000"/>
  </w:font>
  <w:font w:name="仿宋">
    <w:altName w:val="方正仿宋_GBK"/>
    <w:panose1 w:val="02010609060001010101"/>
    <w:charset w:val="86"/>
    <w:family w:val="modern"/>
    <w:pitch w:val="default"/>
    <w:sig w:usb0="00000000" w:usb1="00000000" w:usb2="00000016" w:usb3="00000000" w:csb0="00040001" w:csb1="00000000"/>
  </w:font>
  <w:font w:name="华文中宋">
    <w:altName w:val="汉仪中宋简"/>
    <w:panose1 w:val="02010600040001010101"/>
    <w:charset w:val="86"/>
    <w:family w:val="auto"/>
    <w:pitch w:val="default"/>
    <w:sig w:usb0="00000000" w:usb1="00000000" w:usb2="00000010" w:usb3="00000000" w:csb0="0004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Microsoft YaHei">
    <w:altName w:val="方正黑体_GBK"/>
    <w:panose1 w:val="00000000000000000000"/>
    <w:charset w:val="00"/>
    <w:family w:val="auto"/>
    <w:pitch w:val="default"/>
    <w:sig w:usb0="00000000" w:usb1="00000000" w:usb2="00000000" w:usb3="00000000" w:csb0="0000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方正细黑一_GBK">
    <w:panose1 w:val="03000509000000000000"/>
    <w:charset w:val="86"/>
    <w:family w:val="auto"/>
    <w:pitch w:val="default"/>
    <w:sig w:usb0="00000001" w:usb1="080E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mc:AlternateContent>
        <mc:Choice Requires="wps">
          <w:drawing>
            <wp:anchor distT="0" distB="0" distL="0" distR="0" simplePos="0" relativeHeight="1024" behindDoc="0" locked="0" layoutInCell="1" allowOverlap="1">
              <wp:simplePos x="0" y="0"/>
              <wp:positionH relativeFrom="margin">
                <wp:align>right</wp:align>
              </wp:positionH>
              <wp:positionV relativeFrom="paragraph">
                <wp:posOffset>0</wp:posOffset>
              </wp:positionV>
              <wp:extent cx="363855" cy="304800"/>
              <wp:effectExtent l="0" t="0" r="0" b="0"/>
              <wp:wrapNone/>
              <wp:docPr id="2" name="4097"/>
              <wp:cNvGraphicFramePr/>
              <a:graphic xmlns:a="http://schemas.openxmlformats.org/drawingml/2006/main">
                <a:graphicData uri="http://schemas.microsoft.com/office/word/2010/wordprocessingShape">
                  <wps:wsp>
                    <wps:cNvSpPr txBox="true"/>
                    <wps:spPr>
                      <a:xfrm>
                        <a:off x="0" y="0"/>
                        <a:ext cx="363855" cy="304800"/>
                      </a:xfrm>
                      <a:prstGeom prst="rect">
                        <a:avLst/>
                      </a:prstGeom>
                      <a:noFill/>
                      <a:ln w="6350">
                        <a:noFill/>
                      </a:ln>
                    </wps:spPr>
                    <wps:txbx>
                      <w:txbxContent>
                        <w:p>
                          <w:pPr>
                            <w:pStyle w:val="13"/>
                            <w:jc w:val="both"/>
                            <w:rPr>
                              <w:sz w:val="20"/>
                              <w:szCs w:val="20"/>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20 -</w:t>
                          </w:r>
                          <w:r>
                            <w:rPr>
                              <w:rFonts w:hint="eastAsia" w:ascii="宋体" w:hAnsi="宋体" w:eastAsia="宋体" w:cs="宋体"/>
                              <w:sz w:val="28"/>
                              <w:szCs w:val="28"/>
                              <w:lang w:val="zh-CN"/>
                            </w:rPr>
                            <w:fldChar w:fldCharType="end"/>
                          </w:r>
                        </w:p>
                      </w:txbxContent>
                    </wps:txbx>
                    <wps:bodyPr wrap="none" lIns="0" tIns="0" rIns="0" bIns="0" upright="true">
                      <a:spAutoFit/>
                    </wps:bodyPr>
                  </wps:wsp>
                </a:graphicData>
              </a:graphic>
            </wp:anchor>
          </w:drawing>
        </mc:Choice>
        <mc:Fallback>
          <w:pict>
            <v:shape id="4097" o:spid="_x0000_s1026" o:spt="202" type="#_x0000_t202" style="position:absolute;left:0pt;margin-top:0pt;height:24pt;width:28.65pt;mso-position-horizontal:right;mso-position-horizontal-relative:margin;mso-wrap-style:none;z-index:1024;mso-width-relative:page;mso-height-relative:page;" filled="f" stroked="f" coordsize="21600,21600" o:gfxdata="UEsFBgAAAAAAAAAAAAAAAAAAAAAAAFBLAwQKAAAAAACHTuJAAAAAAAAAAAAAAAAABAAAAGRycy9Q&#10;SwMEFAAAAAgAh07iQHLLadfSAAAAAwEAAA8AAABkcnMvZG93bnJldi54bWxNj8FOwzAQRO9I/IO1&#10;SNyoXVqgCtlUoiIckWg4cHTjJQnY68h20/D3GC5wWWk0o5m35XZ2VkwU4uAZYblQIIhbbwbuEF6b&#10;+moDIibNRlvPhPBFEbbV+VmpC+NP/ELTPnUil3AsNEKf0lhIGduenI4LPxJn790Hp1OWoZMm6FMu&#10;d1ZeK3UrnR44L/R6pF1P7ef+6BB2ddOEiWKwb/RUrz6eH9b0OCNeXizVPYhEc/oLww9+RocqMx38&#10;kU0UFiE/kn5v9m7uViAOCOuNAlmV8j979Q1QSwMEFAAAAAgAh07iQImhRQqsAQAAUQMAAA4AAABk&#10;cnMvZTJvRG9jLnhtbK1T207jMBB9X4l/sPxOE1ra7UZ1EQiBkBAgwX6A69iNJd80dpv073fsNgUt&#10;b6t9ccae2zlnJqubwRqylxC1d4xeTWpKpBO+1W7L6O+Ph8slJTFx13LjnWT0ICO9WV/8WPWhkVPf&#10;edNKIFjExaYPjHYphaaqouik5XHig3ToVB4sT3iFbdUC77G6NdW0rhdV76EN4IWMEV/vj066LvWV&#10;kiK9KhVlIoZRxJbKCeXc5LNar3izBR46LU4w+D+gsFw7bHoudc8TJzvQ30pZLcBHr9JEeFt5pbSQ&#10;hQOyuar/YvPe8SALFxQnhrNM8f+VFS/7NyC6ZXRKieMWR3Rd//qZdelDbND9HjAgDXd+YDTBTo6u&#10;iO+Z8aDA5i9yIRiCIh/OwsohEYGPs8VsOZ9TItA1q6+XdRG++kwOENOj9JZkg1HAuRU5+f45JsSC&#10;oWNI7uX8gzamzM440jO6mM3rknD2YIZxmJhZHKFmKw2b4URt49sDMutx9ow6XE5KzJNDafOajAaM&#10;xmY0dgH0tkOMRYsMJobbXUJABWducqx86o1zK/BPO5YX4+u9RH3+Ce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cstp19IAAAADAQAADwAAAAAAAAABACAAAAA4AAAAZHJzL2Rvd25yZXYueG1sUEsB&#10;AhQAFAAAAAgAh07iQImhRQqsAQAAUQMAAA4AAAAAAAAAAQAgAAAANwEAAGRycy9lMm9Eb2MueG1s&#10;UEsFBgAAAAAGAAYAWQEAAFUFAAAAAA==&#10;">
              <v:fill on="f" focussize="0,0"/>
              <v:stroke on="f" weight="0.5pt"/>
              <v:imagedata o:title=""/>
              <o:lock v:ext="edit" aspectratio="f"/>
              <v:textbox inset="0mm,0mm,0mm,0mm" style="mso-fit-shape-to-text:t;">
                <w:txbxContent>
                  <w:p>
                    <w:pPr>
                      <w:pStyle w:val="13"/>
                      <w:jc w:val="both"/>
                      <w:rPr>
                        <w:sz w:val="20"/>
                        <w:szCs w:val="20"/>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20 -</w:t>
                    </w:r>
                    <w:r>
                      <w:rPr>
                        <w:rFonts w:hint="eastAsia" w:ascii="宋体" w:hAnsi="宋体" w:eastAsia="宋体" w:cs="宋体"/>
                        <w:sz w:val="28"/>
                        <w:szCs w:val="28"/>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0" distR="0" simplePos="0" relativeHeight="1024" behindDoc="0" locked="0" layoutInCell="1" allowOverlap="1">
              <wp:simplePos x="0" y="0"/>
              <wp:positionH relativeFrom="margin">
                <wp:align>right</wp:align>
              </wp:positionH>
              <wp:positionV relativeFrom="paragraph">
                <wp:posOffset>0</wp:posOffset>
              </wp:positionV>
              <wp:extent cx="467995" cy="490855"/>
              <wp:effectExtent l="0" t="0" r="0" b="0"/>
              <wp:wrapNone/>
              <wp:docPr id="3" name="4098"/>
              <wp:cNvGraphicFramePr/>
              <a:graphic xmlns:a="http://schemas.openxmlformats.org/drawingml/2006/main">
                <a:graphicData uri="http://schemas.microsoft.com/office/word/2010/wordprocessingShape">
                  <wps:wsp>
                    <wps:cNvSpPr txBox="true"/>
                    <wps:spPr>
                      <a:xfrm>
                        <a:off x="0" y="0"/>
                        <a:ext cx="467995" cy="490855"/>
                      </a:xfrm>
                      <a:prstGeom prst="rect">
                        <a:avLst/>
                      </a:prstGeom>
                      <a:noFill/>
                      <a:ln>
                        <a:noFill/>
                      </a:ln>
                    </wps:spPr>
                    <wps:txbx>
                      <w:txbxContent>
                        <w:p>
                          <w:pPr>
                            <w:pStyle w:val="1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24 -</w:t>
                          </w:r>
                          <w:r>
                            <w:rPr>
                              <w:rFonts w:hint="eastAsia" w:ascii="宋体" w:hAnsi="宋体" w:eastAsia="宋体" w:cs="宋体"/>
                              <w:sz w:val="28"/>
                              <w:szCs w:val="28"/>
                              <w:lang w:val="zh-CN"/>
                            </w:rPr>
                            <w:fldChar w:fldCharType="end"/>
                          </w:r>
                        </w:p>
                        <w:p/>
                      </w:txbxContent>
                    </wps:txbx>
                    <wps:bodyPr wrap="none" lIns="0" tIns="0" rIns="0" bIns="0" upright="true">
                      <a:spAutoFit/>
                    </wps:bodyPr>
                  </wps:wsp>
                </a:graphicData>
              </a:graphic>
            </wp:anchor>
          </w:drawing>
        </mc:Choice>
        <mc:Fallback>
          <w:pict>
            <v:shape id="4098" o:spid="_x0000_s1026" o:spt="202" type="#_x0000_t202" style="position:absolute;left:0pt;margin-top:0pt;height:38.65pt;width:36.85pt;mso-position-horizontal:right;mso-position-horizontal-relative:margin;mso-wrap-style:none;z-index:1024;mso-width-relative:page;mso-height-relative:page;" filled="f" stroked="f" coordsize="21600,21600" o:gfxdata="UEsFBgAAAAAAAAAAAAAAAAAAAAAAAFBLAwQKAAAAAACHTuJAAAAAAAAAAAAAAAAABAAAAGRycy9Q&#10;SwMEFAAAAAgAh07iQIarOO7RAAAAAwEAAA8AAABkcnMvZG93bnJldi54bWxNjzFrwzAQhfdC/oO4&#10;QrdGTgN1cCxnCGTplrQUuinWxTKVTkZSHPvf59qlXe5xvOO97+rd5J0YMaY+kILVsgCB1AbTU6fg&#10;4/3wvAGRsiajXSBUMGOCXbN4qHVlwo2OOJ5yJziEUqUV2JyHSsrUWvQ6LcOAxN4lRK8zr7GTJuob&#10;h3snX4riVXrdEzdYPeDeYvt9unoF5fQZcEi4x6/L2Ebbzxv3Niv19LgqtiAyTvnvGH7wGR0aZjqH&#10;K5kknAJ+JP9O9sp1CeLMWq5BNrX8z97cAVBLAwQUAAAACACHTuJAu9QGIKYBAABIAwAADgAAAGRy&#10;cy9lMm9Eb2MueG1srVPLbtswELwX6D8QvNdUUju1BdNBiyBFgaANkOYDaIq0CPCFJW3Jf58lbTlp&#10;ewt6oVa7q9mZWWp9OzpLDgqSCZ7Tq1lDifIydMbvOH3+ff9pSUnKwnfCBq84PapEbzcfP6yH2Krr&#10;0AfbKSAI4lM7RE77nGPLWJK9ciLNQlQeizqAExlfYcc6EAOiO8uum+aGDQG6CEGqlDB7dyrSTcXX&#10;Wsn8S+ukMrGcIrdcT6jntpxssxbtDkTsjTzTEO9g4YTxOPQCdSeyIHsw/0A5IyGkoPNMBseC1kaq&#10;qgHVXDV/qXnqRVRVC5qT4sWm9P9g5c/DIxDTcfqZEi8crmjerJbFlyGmFstPERvy+C2MnGbYq6mU&#10;MF8UjxpceaIWgi1o8vFirBozkZic33xZrRaUSCzNV81ysSgo7PXjCCl/V8GREnAKuLdqpzg8pHxq&#10;nVrKLB/ujbV1d9b/kUDMkmGF/IlhifK4Hc+KtqE7oqABV86pxztJif3h0dFyO6YApmA7BfsIZtcj&#10;tWpBGZni131GHpVeGXJCPs/GdVWB56tV7sPb99r1+gNsX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CGqzju0QAAAAMBAAAPAAAAAAAAAAEAIAAAADgAAABkcnMvZG93bnJldi54bWxQSwECFAAUAAAA&#10;CACHTuJAu9QGIKYBAABIAwAADgAAAAAAAAABACAAAAA2AQAAZHJzL2Uyb0RvYy54bWxQSwUGAAAA&#10;AAYABgBZAQAATgUAAAAA&#10;">
              <v:fill on="f" focussize="0,0"/>
              <v:stroke on="f"/>
              <v:imagedata o:title=""/>
              <o:lock v:ext="edit" aspectratio="f"/>
              <v:textbox inset="0mm,0mm,0mm,0mm" style="mso-fit-shape-to-text:t;">
                <w:txbxContent>
                  <w:p>
                    <w:pPr>
                      <w:pStyle w:val="1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24 -</w:t>
                    </w:r>
                    <w:r>
                      <w:rPr>
                        <w:rFonts w:hint="eastAsia" w:ascii="宋体" w:hAnsi="宋体" w:eastAsia="宋体" w:cs="宋体"/>
                        <w:sz w:val="28"/>
                        <w:szCs w:val="28"/>
                        <w:lang w:val="zh-CN"/>
                      </w:rPr>
                      <w:fldChar w:fldCharType="end"/>
                    </w:r>
                  </w:p>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left"/>
      <w:rPr>
        <w:b/>
        <w:bCs/>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244"/>
  <w:drawingGridVerticalSpacing w:val="163"/>
  <w:displayHorizontalDrawingGridEvery w:val="2"/>
  <w:displayVerticalDrawingGridEvery w:val="2"/>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AB64FB"/>
    <w:rsid w:val="7F7D58EC"/>
    <w:rsid w:val="9D4B5CFF"/>
    <w:rsid w:val="BA7B23C6"/>
    <w:rsid w:val="FE734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paragraph" w:styleId="2">
    <w:name w:val="heading 1"/>
    <w:basedOn w:val="1"/>
    <w:next w:val="1"/>
    <w:link w:val="58"/>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59"/>
    <w:qFormat/>
    <w:uiPriority w:val="9"/>
    <w:pPr>
      <w:keepNext/>
      <w:spacing w:before="240" w:after="60"/>
      <w:outlineLvl w:val="1"/>
    </w:pPr>
    <w:rPr>
      <w:rFonts w:ascii="Cambria" w:hAnsi="Cambria"/>
      <w:b/>
      <w:bCs/>
      <w:i/>
      <w:iCs/>
      <w:sz w:val="28"/>
      <w:szCs w:val="28"/>
    </w:rPr>
  </w:style>
  <w:style w:type="paragraph" w:styleId="4">
    <w:name w:val="heading 3"/>
    <w:basedOn w:val="1"/>
    <w:next w:val="1"/>
    <w:link w:val="60"/>
    <w:qFormat/>
    <w:uiPriority w:val="9"/>
    <w:pPr>
      <w:keepNext/>
      <w:spacing w:before="240" w:after="60"/>
      <w:outlineLvl w:val="2"/>
    </w:pPr>
    <w:rPr>
      <w:rFonts w:ascii="Cambria" w:hAnsi="Cambria"/>
      <w:b/>
      <w:bCs/>
      <w:sz w:val="26"/>
      <w:szCs w:val="26"/>
    </w:rPr>
  </w:style>
  <w:style w:type="paragraph" w:styleId="5">
    <w:name w:val="heading 4"/>
    <w:basedOn w:val="1"/>
    <w:next w:val="1"/>
    <w:link w:val="61"/>
    <w:qFormat/>
    <w:uiPriority w:val="9"/>
    <w:pPr>
      <w:keepNext/>
      <w:spacing w:before="240" w:after="60"/>
      <w:outlineLvl w:val="3"/>
    </w:pPr>
    <w:rPr>
      <w:b/>
      <w:bCs/>
      <w:sz w:val="28"/>
      <w:szCs w:val="28"/>
    </w:rPr>
  </w:style>
  <w:style w:type="paragraph" w:styleId="6">
    <w:name w:val="heading 5"/>
    <w:basedOn w:val="1"/>
    <w:next w:val="1"/>
    <w:link w:val="62"/>
    <w:qFormat/>
    <w:uiPriority w:val="9"/>
    <w:pPr>
      <w:spacing w:before="240" w:after="60"/>
      <w:outlineLvl w:val="4"/>
    </w:pPr>
    <w:rPr>
      <w:b/>
      <w:bCs/>
      <w:i/>
      <w:iCs/>
      <w:sz w:val="26"/>
      <w:szCs w:val="26"/>
    </w:rPr>
  </w:style>
  <w:style w:type="paragraph" w:styleId="7">
    <w:name w:val="heading 6"/>
    <w:basedOn w:val="1"/>
    <w:next w:val="1"/>
    <w:link w:val="63"/>
    <w:qFormat/>
    <w:uiPriority w:val="9"/>
    <w:pPr>
      <w:spacing w:before="240" w:after="60"/>
      <w:outlineLvl w:val="5"/>
    </w:pPr>
    <w:rPr>
      <w:b/>
      <w:bCs/>
      <w:sz w:val="22"/>
      <w:szCs w:val="22"/>
    </w:rPr>
  </w:style>
  <w:style w:type="paragraph" w:styleId="8">
    <w:name w:val="heading 7"/>
    <w:basedOn w:val="1"/>
    <w:next w:val="1"/>
    <w:link w:val="64"/>
    <w:qFormat/>
    <w:uiPriority w:val="9"/>
    <w:pPr>
      <w:spacing w:before="240" w:after="60"/>
      <w:outlineLvl w:val="6"/>
    </w:pPr>
  </w:style>
  <w:style w:type="paragraph" w:styleId="9">
    <w:name w:val="heading 8"/>
    <w:basedOn w:val="1"/>
    <w:next w:val="1"/>
    <w:link w:val="65"/>
    <w:qFormat/>
    <w:uiPriority w:val="9"/>
    <w:pPr>
      <w:spacing w:before="240" w:after="60"/>
      <w:outlineLvl w:val="7"/>
    </w:pPr>
    <w:rPr>
      <w:i/>
      <w:iCs/>
    </w:rPr>
  </w:style>
  <w:style w:type="paragraph" w:styleId="10">
    <w:name w:val="heading 9"/>
    <w:basedOn w:val="1"/>
    <w:next w:val="1"/>
    <w:link w:val="66"/>
    <w:qFormat/>
    <w:uiPriority w:val="9"/>
    <w:pPr>
      <w:spacing w:before="240" w:after="60"/>
      <w:outlineLvl w:val="8"/>
    </w:pPr>
    <w:rPr>
      <w:rFonts w:ascii="Cambria" w:hAnsi="Cambria"/>
      <w:sz w:val="22"/>
      <w:szCs w:val="22"/>
    </w:rPr>
  </w:style>
  <w:style w:type="character" w:default="1" w:styleId="21">
    <w:name w:val="Default Paragraph Font"/>
    <w:qFormat/>
    <w:uiPriority w:val="1"/>
  </w:style>
  <w:style w:type="table" w:default="1" w:styleId="19">
    <w:name w:val="Normal Table"/>
    <w:qFormat/>
    <w:uiPriority w:val="99"/>
    <w:tblPr>
      <w:tblCellMar>
        <w:top w:w="0" w:type="dxa"/>
        <w:left w:w="108" w:type="dxa"/>
        <w:bottom w:w="0" w:type="dxa"/>
        <w:right w:w="108" w:type="dxa"/>
      </w:tblCellMar>
    </w:tblPr>
  </w:style>
  <w:style w:type="paragraph" w:styleId="11">
    <w:name w:val="annotation text"/>
    <w:basedOn w:val="1"/>
    <w:link w:val="47"/>
    <w:qFormat/>
    <w:uiPriority w:val="0"/>
  </w:style>
  <w:style w:type="paragraph" w:styleId="12">
    <w:name w:val="Balloon Text"/>
    <w:basedOn w:val="1"/>
    <w:link w:val="42"/>
    <w:qFormat/>
    <w:uiPriority w:val="0"/>
    <w:rPr>
      <w:rFonts w:ascii="Tahoma" w:hAnsi="Tahoma" w:eastAsia="等线" w:cs="宋体"/>
      <w:kern w:val="2"/>
      <w:sz w:val="18"/>
      <w:szCs w:val="18"/>
    </w:rPr>
  </w:style>
  <w:style w:type="paragraph" w:styleId="13">
    <w:name w:val="footer"/>
    <w:basedOn w:val="1"/>
    <w:link w:val="41"/>
    <w:qFormat/>
    <w:uiPriority w:val="99"/>
    <w:pPr>
      <w:tabs>
        <w:tab w:val="center" w:pos="4153"/>
        <w:tab w:val="right" w:pos="8306"/>
      </w:tabs>
    </w:pPr>
    <w:rPr>
      <w:rFonts w:ascii="Tahoma" w:hAnsi="Tahoma" w:eastAsia="等线" w:cs="宋体"/>
      <w:kern w:val="2"/>
      <w:sz w:val="18"/>
      <w:szCs w:val="18"/>
    </w:rPr>
  </w:style>
  <w:style w:type="paragraph" w:styleId="14">
    <w:name w:val="header"/>
    <w:basedOn w:val="1"/>
    <w:link w:val="37"/>
    <w:qFormat/>
    <w:uiPriority w:val="99"/>
    <w:pPr>
      <w:pBdr>
        <w:bottom w:val="single" w:color="auto" w:sz="6" w:space="1"/>
      </w:pBdr>
      <w:tabs>
        <w:tab w:val="center" w:pos="4153"/>
        <w:tab w:val="right" w:pos="8306"/>
      </w:tabs>
      <w:jc w:val="center"/>
    </w:pPr>
    <w:rPr>
      <w:rFonts w:ascii="Tahoma" w:hAnsi="Tahoma" w:eastAsia="等线" w:cs="宋体"/>
      <w:kern w:val="2"/>
      <w:sz w:val="18"/>
      <w:szCs w:val="18"/>
    </w:rPr>
  </w:style>
  <w:style w:type="paragraph" w:styleId="15">
    <w:name w:val="Subtitle"/>
    <w:basedOn w:val="1"/>
    <w:next w:val="1"/>
    <w:link w:val="68"/>
    <w:qFormat/>
    <w:uiPriority w:val="11"/>
    <w:pPr>
      <w:spacing w:after="60"/>
      <w:jc w:val="center"/>
      <w:outlineLvl w:val="1"/>
    </w:pPr>
    <w:rPr>
      <w:rFonts w:ascii="Cambria" w:hAnsi="Cambria"/>
    </w:rPr>
  </w:style>
  <w:style w:type="paragraph" w:styleId="16">
    <w:name w:val="Normal (Web)"/>
    <w:basedOn w:val="1"/>
    <w:qFormat/>
    <w:uiPriority w:val="0"/>
    <w:pPr>
      <w:spacing w:before="100" w:beforeAutospacing="1" w:after="100" w:afterAutospacing="1"/>
    </w:pPr>
  </w:style>
  <w:style w:type="paragraph" w:styleId="17">
    <w:name w:val="Title"/>
    <w:basedOn w:val="1"/>
    <w:next w:val="1"/>
    <w:link w:val="38"/>
    <w:qFormat/>
    <w:uiPriority w:val="10"/>
    <w:pPr>
      <w:spacing w:before="240" w:after="60"/>
      <w:jc w:val="center"/>
      <w:outlineLvl w:val="0"/>
    </w:pPr>
    <w:rPr>
      <w:rFonts w:ascii="Cambria" w:hAnsi="Cambria" w:cs="宋体"/>
      <w:b/>
      <w:bCs/>
      <w:kern w:val="28"/>
      <w:sz w:val="32"/>
      <w:szCs w:val="32"/>
    </w:rPr>
  </w:style>
  <w:style w:type="paragraph" w:styleId="18">
    <w:name w:val="annotation subject"/>
    <w:basedOn w:val="11"/>
    <w:next w:val="11"/>
    <w:link w:val="44"/>
    <w:qFormat/>
    <w:uiPriority w:val="0"/>
    <w:rPr>
      <w:rFonts w:ascii="Tahoma" w:hAnsi="Tahoma" w:eastAsia="微软雅黑" w:cs="宋体"/>
      <w:b/>
      <w:bCs/>
      <w:kern w:val="2"/>
      <w:sz w:val="22"/>
      <w:szCs w:val="22"/>
    </w:rPr>
  </w:style>
  <w:style w:type="table" w:styleId="20">
    <w:name w:val="Table Grid"/>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0"/>
    <w:rPr>
      <w:b/>
      <w:bCs/>
    </w:rPr>
  </w:style>
  <w:style w:type="character" w:styleId="23">
    <w:name w:val="Emphasis"/>
    <w:qFormat/>
    <w:uiPriority w:val="20"/>
    <w:rPr>
      <w:rFonts w:ascii="Calibri" w:hAnsi="Calibri"/>
      <w:b/>
      <w:i/>
      <w:iCs/>
    </w:rPr>
  </w:style>
  <w:style w:type="character" w:styleId="24">
    <w:name w:val="Hyperlink"/>
    <w:qFormat/>
    <w:uiPriority w:val="0"/>
    <w:rPr>
      <w:color w:val="0000FF"/>
      <w:u w:val="single"/>
    </w:rPr>
  </w:style>
  <w:style w:type="character" w:styleId="25">
    <w:name w:val="annotation reference"/>
    <w:qFormat/>
    <w:uiPriority w:val="0"/>
    <w:rPr>
      <w:sz w:val="21"/>
      <w:szCs w:val="21"/>
    </w:rPr>
  </w:style>
  <w:style w:type="character" w:customStyle="1" w:styleId="26">
    <w:name w:val="标题 1 字符"/>
    <w:basedOn w:val="21"/>
    <w:qFormat/>
    <w:uiPriority w:val="9"/>
    <w:rPr>
      <w:rFonts w:ascii="Calibri" w:hAnsi="Calibri" w:eastAsia="宋体" w:cs="Times New Roman"/>
      <w:b/>
      <w:bCs/>
      <w:kern w:val="44"/>
      <w:sz w:val="44"/>
      <w:szCs w:val="44"/>
    </w:rPr>
  </w:style>
  <w:style w:type="character" w:customStyle="1" w:styleId="27">
    <w:name w:val="标题 2 字符"/>
    <w:basedOn w:val="21"/>
    <w:qFormat/>
    <w:uiPriority w:val="9"/>
    <w:rPr>
      <w:rFonts w:ascii="等线 Light" w:hAnsi="等线 Light" w:eastAsia="等线 Light" w:cs="宋体"/>
      <w:b/>
      <w:bCs/>
      <w:kern w:val="0"/>
      <w:sz w:val="32"/>
      <w:szCs w:val="32"/>
    </w:rPr>
  </w:style>
  <w:style w:type="character" w:customStyle="1" w:styleId="28">
    <w:name w:val="标题 3 字符"/>
    <w:basedOn w:val="21"/>
    <w:qFormat/>
    <w:uiPriority w:val="9"/>
    <w:rPr>
      <w:rFonts w:ascii="Calibri" w:hAnsi="Calibri" w:eastAsia="宋体" w:cs="Times New Roman"/>
      <w:b/>
      <w:bCs/>
      <w:kern w:val="0"/>
      <w:sz w:val="32"/>
      <w:szCs w:val="32"/>
    </w:rPr>
  </w:style>
  <w:style w:type="character" w:customStyle="1" w:styleId="29">
    <w:name w:val="标题 4 字符"/>
    <w:basedOn w:val="21"/>
    <w:qFormat/>
    <w:uiPriority w:val="9"/>
    <w:rPr>
      <w:rFonts w:ascii="等线 Light" w:hAnsi="等线 Light" w:eastAsia="等线 Light" w:cs="宋体"/>
      <w:b/>
      <w:bCs/>
      <w:kern w:val="0"/>
      <w:sz w:val="28"/>
      <w:szCs w:val="28"/>
    </w:rPr>
  </w:style>
  <w:style w:type="character" w:customStyle="1" w:styleId="30">
    <w:name w:val="标题 5 字符"/>
    <w:basedOn w:val="21"/>
    <w:qFormat/>
    <w:uiPriority w:val="9"/>
    <w:rPr>
      <w:rFonts w:ascii="Calibri" w:hAnsi="Calibri" w:eastAsia="宋体" w:cs="Times New Roman"/>
      <w:b/>
      <w:bCs/>
      <w:kern w:val="0"/>
      <w:sz w:val="28"/>
      <w:szCs w:val="28"/>
    </w:rPr>
  </w:style>
  <w:style w:type="character" w:customStyle="1" w:styleId="31">
    <w:name w:val="标题 6 字符"/>
    <w:basedOn w:val="21"/>
    <w:qFormat/>
    <w:uiPriority w:val="9"/>
    <w:rPr>
      <w:rFonts w:ascii="等线 Light" w:hAnsi="等线 Light" w:eastAsia="等线 Light" w:cs="宋体"/>
      <w:b/>
      <w:bCs/>
      <w:kern w:val="0"/>
      <w:sz w:val="24"/>
      <w:szCs w:val="24"/>
    </w:rPr>
  </w:style>
  <w:style w:type="character" w:customStyle="1" w:styleId="32">
    <w:name w:val="标题 7 字符"/>
    <w:basedOn w:val="21"/>
    <w:qFormat/>
    <w:uiPriority w:val="9"/>
    <w:rPr>
      <w:rFonts w:ascii="Calibri" w:hAnsi="Calibri" w:eastAsia="宋体" w:cs="Times New Roman"/>
      <w:b/>
      <w:bCs/>
      <w:kern w:val="0"/>
      <w:sz w:val="24"/>
      <w:szCs w:val="24"/>
    </w:rPr>
  </w:style>
  <w:style w:type="character" w:customStyle="1" w:styleId="33">
    <w:name w:val="标题 8 字符"/>
    <w:basedOn w:val="21"/>
    <w:qFormat/>
    <w:uiPriority w:val="9"/>
    <w:rPr>
      <w:rFonts w:ascii="等线 Light" w:hAnsi="等线 Light" w:eastAsia="等线 Light" w:cs="宋体"/>
      <w:kern w:val="0"/>
      <w:sz w:val="24"/>
      <w:szCs w:val="24"/>
    </w:rPr>
  </w:style>
  <w:style w:type="character" w:customStyle="1" w:styleId="34">
    <w:name w:val="标题 9 字符"/>
    <w:basedOn w:val="21"/>
    <w:qFormat/>
    <w:uiPriority w:val="9"/>
    <w:rPr>
      <w:rFonts w:ascii="等线 Light" w:hAnsi="等线 Light" w:eastAsia="等线 Light" w:cs="宋体"/>
      <w:kern w:val="0"/>
      <w:szCs w:val="21"/>
    </w:rPr>
  </w:style>
  <w:style w:type="character" w:customStyle="1" w:styleId="35">
    <w:name w:val="批注主题 Char"/>
    <w:link w:val="36"/>
    <w:qFormat/>
    <w:uiPriority w:val="0"/>
    <w:rPr>
      <w:rFonts w:ascii="Tahoma" w:hAnsi="Tahoma"/>
      <w:b/>
      <w:bCs/>
      <w:sz w:val="22"/>
    </w:rPr>
  </w:style>
  <w:style w:type="paragraph" w:customStyle="1" w:styleId="36">
    <w:name w:val="批注主题1"/>
    <w:basedOn w:val="11"/>
    <w:next w:val="11"/>
    <w:link w:val="35"/>
    <w:qFormat/>
    <w:uiPriority w:val="0"/>
    <w:rPr>
      <w:rFonts w:ascii="Tahoma" w:hAnsi="Tahoma" w:eastAsia="等线" w:cs="宋体"/>
      <w:b/>
      <w:bCs/>
      <w:kern w:val="2"/>
      <w:sz w:val="22"/>
      <w:szCs w:val="22"/>
    </w:rPr>
  </w:style>
  <w:style w:type="character" w:customStyle="1" w:styleId="37">
    <w:name w:val="页眉 Char"/>
    <w:link w:val="14"/>
    <w:qFormat/>
    <w:uiPriority w:val="99"/>
    <w:rPr>
      <w:rFonts w:ascii="Tahoma" w:hAnsi="Tahoma"/>
      <w:sz w:val="18"/>
      <w:szCs w:val="18"/>
    </w:rPr>
  </w:style>
  <w:style w:type="character" w:customStyle="1" w:styleId="38">
    <w:name w:val="标题 Char"/>
    <w:link w:val="17"/>
    <w:qFormat/>
    <w:uiPriority w:val="10"/>
    <w:rPr>
      <w:rFonts w:ascii="Cambria" w:hAnsi="Cambria" w:eastAsia="宋体"/>
      <w:b/>
      <w:bCs/>
      <w:kern w:val="28"/>
      <w:sz w:val="32"/>
      <w:szCs w:val="32"/>
    </w:rPr>
  </w:style>
  <w:style w:type="character" w:customStyle="1" w:styleId="39">
    <w:name w:val="纯文本 Char"/>
    <w:link w:val="40"/>
    <w:qFormat/>
    <w:uiPriority w:val="0"/>
    <w:rPr>
      <w:rFonts w:ascii="宋体" w:hAnsi="Courier New"/>
    </w:rPr>
  </w:style>
  <w:style w:type="paragraph" w:customStyle="1" w:styleId="40">
    <w:name w:val="纯文本1"/>
    <w:basedOn w:val="1"/>
    <w:link w:val="39"/>
    <w:qFormat/>
    <w:uiPriority w:val="0"/>
    <w:pPr>
      <w:widowControl w:val="0"/>
      <w:jc w:val="both"/>
    </w:pPr>
    <w:rPr>
      <w:rFonts w:ascii="宋体" w:hAnsi="Courier New" w:eastAsia="等线" w:cs="宋体"/>
      <w:kern w:val="2"/>
      <w:sz w:val="21"/>
      <w:szCs w:val="22"/>
    </w:rPr>
  </w:style>
  <w:style w:type="character" w:customStyle="1" w:styleId="41">
    <w:name w:val="页脚 Char"/>
    <w:link w:val="13"/>
    <w:qFormat/>
    <w:uiPriority w:val="0"/>
    <w:rPr>
      <w:rFonts w:ascii="Tahoma" w:hAnsi="Tahoma"/>
      <w:sz w:val="18"/>
      <w:szCs w:val="18"/>
    </w:rPr>
  </w:style>
  <w:style w:type="character" w:customStyle="1" w:styleId="42">
    <w:name w:val="批注框文本 Char"/>
    <w:link w:val="12"/>
    <w:qFormat/>
    <w:uiPriority w:val="0"/>
    <w:rPr>
      <w:rFonts w:ascii="Tahoma" w:hAnsi="Tahoma"/>
      <w:sz w:val="18"/>
      <w:szCs w:val="18"/>
    </w:rPr>
  </w:style>
  <w:style w:type="character" w:customStyle="1" w:styleId="43">
    <w:name w:val="纯文本 Char1"/>
    <w:qFormat/>
    <w:uiPriority w:val="0"/>
    <w:rPr>
      <w:rFonts w:ascii="宋体" w:hAnsi="Courier New" w:eastAsia="宋体" w:cs="Courier New"/>
      <w:sz w:val="21"/>
      <w:szCs w:val="21"/>
    </w:rPr>
  </w:style>
  <w:style w:type="character" w:customStyle="1" w:styleId="44">
    <w:name w:val="批注主题 Char1"/>
    <w:link w:val="18"/>
    <w:qFormat/>
    <w:uiPriority w:val="0"/>
    <w:rPr>
      <w:rFonts w:ascii="Tahoma" w:hAnsi="Tahoma" w:eastAsia="微软雅黑"/>
      <w:b/>
      <w:bCs/>
      <w:sz w:val="22"/>
    </w:rPr>
  </w:style>
  <w:style w:type="character" w:customStyle="1" w:styleId="45">
    <w:name w:val="批注引用1"/>
    <w:qFormat/>
    <w:uiPriority w:val="0"/>
    <w:rPr>
      <w:sz w:val="21"/>
      <w:szCs w:val="21"/>
    </w:rPr>
  </w:style>
  <w:style w:type="character" w:customStyle="1" w:styleId="46">
    <w:name w:val="批注文字 Char"/>
    <w:qFormat/>
    <w:uiPriority w:val="0"/>
    <w:rPr>
      <w:rFonts w:ascii="Tahoma" w:hAnsi="Tahoma"/>
      <w:sz w:val="22"/>
      <w:szCs w:val="22"/>
    </w:rPr>
  </w:style>
  <w:style w:type="character" w:customStyle="1" w:styleId="47">
    <w:name w:val="批注文字 Char1"/>
    <w:basedOn w:val="21"/>
    <w:link w:val="11"/>
    <w:qFormat/>
    <w:uiPriority w:val="99"/>
    <w:rPr>
      <w:rFonts w:ascii="Calibri" w:hAnsi="Calibri" w:eastAsia="宋体" w:cs="Times New Roman"/>
      <w:kern w:val="0"/>
      <w:sz w:val="24"/>
      <w:szCs w:val="24"/>
    </w:rPr>
  </w:style>
  <w:style w:type="character" w:customStyle="1" w:styleId="48">
    <w:name w:val="批注主题 字符"/>
    <w:basedOn w:val="47"/>
    <w:qFormat/>
    <w:uiPriority w:val="99"/>
    <w:rPr>
      <w:rFonts w:ascii="Calibri" w:hAnsi="Calibri" w:eastAsia="宋体" w:cs="Times New Roman"/>
      <w:b/>
      <w:bCs/>
      <w:kern w:val="0"/>
      <w:sz w:val="24"/>
      <w:szCs w:val="24"/>
    </w:rPr>
  </w:style>
  <w:style w:type="character" w:customStyle="1" w:styleId="49">
    <w:name w:val="标题 字符"/>
    <w:basedOn w:val="21"/>
    <w:qFormat/>
    <w:uiPriority w:val="10"/>
    <w:rPr>
      <w:rFonts w:ascii="等线 Light" w:hAnsi="等线 Light" w:eastAsia="等线 Light" w:cs="宋体"/>
      <w:b/>
      <w:bCs/>
      <w:kern w:val="0"/>
      <w:sz w:val="32"/>
      <w:szCs w:val="32"/>
    </w:rPr>
  </w:style>
  <w:style w:type="paragraph" w:styleId="50">
    <w:name w:val="No Spacing"/>
    <w:basedOn w:val="1"/>
    <w:qFormat/>
    <w:uiPriority w:val="1"/>
    <w:rPr>
      <w:szCs w:val="32"/>
    </w:rPr>
  </w:style>
  <w:style w:type="character" w:customStyle="1" w:styleId="51">
    <w:name w:val="页眉 字符"/>
    <w:basedOn w:val="21"/>
    <w:qFormat/>
    <w:uiPriority w:val="99"/>
    <w:rPr>
      <w:rFonts w:ascii="Calibri" w:hAnsi="Calibri" w:eastAsia="宋体" w:cs="Times New Roman"/>
      <w:kern w:val="0"/>
      <w:sz w:val="18"/>
      <w:szCs w:val="18"/>
    </w:rPr>
  </w:style>
  <w:style w:type="paragraph" w:customStyle="1" w:styleId="5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Times New Roman"/>
      <w:sz w:val="52"/>
      <w:szCs w:val="22"/>
      <w:lang w:val="en-US" w:eastAsia="zh-CN" w:bidi="ar-SA"/>
    </w:rPr>
  </w:style>
  <w:style w:type="character" w:customStyle="1" w:styleId="53">
    <w:name w:val="页脚 字符"/>
    <w:basedOn w:val="21"/>
    <w:qFormat/>
    <w:uiPriority w:val="99"/>
    <w:rPr>
      <w:rFonts w:ascii="Calibri" w:hAnsi="Calibri" w:eastAsia="宋体" w:cs="Times New Roman"/>
      <w:kern w:val="0"/>
      <w:sz w:val="18"/>
      <w:szCs w:val="18"/>
    </w:rPr>
  </w:style>
  <w:style w:type="paragraph" w:customStyle="1" w:styleId="5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5">
    <w:name w:val="批注框文本 字符"/>
    <w:basedOn w:val="21"/>
    <w:qFormat/>
    <w:uiPriority w:val="99"/>
    <w:rPr>
      <w:rFonts w:ascii="Calibri" w:hAnsi="Calibri" w:eastAsia="宋体" w:cs="Times New Roman"/>
      <w:kern w:val="0"/>
      <w:sz w:val="18"/>
      <w:szCs w:val="18"/>
    </w:rPr>
  </w:style>
  <w:style w:type="paragraph" w:customStyle="1" w:styleId="56">
    <w:name w:val="修订1"/>
    <w:qFormat/>
    <w:uiPriority w:val="0"/>
    <w:rPr>
      <w:rFonts w:ascii="Tahoma" w:hAnsi="Tahoma" w:eastAsia="宋体" w:cs="Times New Roman"/>
      <w:sz w:val="22"/>
      <w:szCs w:val="22"/>
      <w:lang w:val="en-US" w:eastAsia="zh-CN" w:bidi="ar-SA"/>
    </w:rPr>
  </w:style>
  <w:style w:type="paragraph" w:customStyle="1" w:styleId="57">
    <w:name w:val="列出段落1"/>
    <w:basedOn w:val="1"/>
    <w:qFormat/>
    <w:uiPriority w:val="0"/>
    <w:pPr>
      <w:widowControl w:val="0"/>
      <w:ind w:firstLine="420" w:firstLineChars="200"/>
      <w:jc w:val="both"/>
    </w:pPr>
    <w:rPr>
      <w:kern w:val="2"/>
      <w:sz w:val="21"/>
    </w:rPr>
  </w:style>
  <w:style w:type="character" w:customStyle="1" w:styleId="58">
    <w:name w:val="标题 1 Char"/>
    <w:link w:val="2"/>
    <w:qFormat/>
    <w:uiPriority w:val="9"/>
    <w:rPr>
      <w:rFonts w:ascii="Cambria" w:hAnsi="Cambria" w:eastAsia="宋体" w:cs="Times New Roman"/>
      <w:b/>
      <w:bCs/>
      <w:kern w:val="32"/>
      <w:sz w:val="32"/>
      <w:szCs w:val="32"/>
    </w:rPr>
  </w:style>
  <w:style w:type="character" w:customStyle="1" w:styleId="59">
    <w:name w:val="标题 2 Char"/>
    <w:link w:val="3"/>
    <w:qFormat/>
    <w:uiPriority w:val="9"/>
    <w:rPr>
      <w:rFonts w:ascii="Cambria" w:hAnsi="Cambria" w:eastAsia="宋体" w:cs="Times New Roman"/>
      <w:b/>
      <w:bCs/>
      <w:i/>
      <w:iCs/>
      <w:kern w:val="0"/>
      <w:sz w:val="28"/>
      <w:szCs w:val="28"/>
    </w:rPr>
  </w:style>
  <w:style w:type="character" w:customStyle="1" w:styleId="60">
    <w:name w:val="标题 3 Char"/>
    <w:link w:val="4"/>
    <w:qFormat/>
    <w:uiPriority w:val="9"/>
    <w:rPr>
      <w:rFonts w:ascii="Cambria" w:hAnsi="Cambria" w:eastAsia="宋体" w:cs="Times New Roman"/>
      <w:b/>
      <w:bCs/>
      <w:kern w:val="0"/>
      <w:sz w:val="26"/>
      <w:szCs w:val="26"/>
    </w:rPr>
  </w:style>
  <w:style w:type="character" w:customStyle="1" w:styleId="61">
    <w:name w:val="标题 4 Char"/>
    <w:link w:val="5"/>
    <w:qFormat/>
    <w:uiPriority w:val="9"/>
    <w:rPr>
      <w:rFonts w:ascii="Calibri" w:hAnsi="Calibri" w:eastAsia="宋体" w:cs="Times New Roman"/>
      <w:b/>
      <w:bCs/>
      <w:kern w:val="0"/>
      <w:sz w:val="28"/>
      <w:szCs w:val="28"/>
    </w:rPr>
  </w:style>
  <w:style w:type="character" w:customStyle="1" w:styleId="62">
    <w:name w:val="标题 5 Char"/>
    <w:link w:val="6"/>
    <w:qFormat/>
    <w:uiPriority w:val="9"/>
    <w:rPr>
      <w:rFonts w:ascii="Calibri" w:hAnsi="Calibri" w:eastAsia="宋体" w:cs="Times New Roman"/>
      <w:b/>
      <w:bCs/>
      <w:i/>
      <w:iCs/>
      <w:kern w:val="0"/>
      <w:sz w:val="26"/>
      <w:szCs w:val="26"/>
    </w:rPr>
  </w:style>
  <w:style w:type="character" w:customStyle="1" w:styleId="63">
    <w:name w:val="标题 6 Char"/>
    <w:link w:val="7"/>
    <w:qFormat/>
    <w:uiPriority w:val="9"/>
    <w:rPr>
      <w:rFonts w:ascii="Calibri" w:hAnsi="Calibri" w:eastAsia="宋体" w:cs="Times New Roman"/>
      <w:b/>
      <w:bCs/>
      <w:kern w:val="0"/>
      <w:sz w:val="22"/>
    </w:rPr>
  </w:style>
  <w:style w:type="character" w:customStyle="1" w:styleId="64">
    <w:name w:val="标题 7 Char"/>
    <w:link w:val="8"/>
    <w:qFormat/>
    <w:uiPriority w:val="9"/>
    <w:rPr>
      <w:rFonts w:ascii="Calibri" w:hAnsi="Calibri" w:eastAsia="宋体" w:cs="Times New Roman"/>
      <w:kern w:val="0"/>
      <w:sz w:val="24"/>
      <w:szCs w:val="24"/>
    </w:rPr>
  </w:style>
  <w:style w:type="character" w:customStyle="1" w:styleId="65">
    <w:name w:val="标题 8 Char"/>
    <w:link w:val="9"/>
    <w:qFormat/>
    <w:uiPriority w:val="9"/>
    <w:rPr>
      <w:rFonts w:ascii="Calibri" w:hAnsi="Calibri" w:eastAsia="宋体" w:cs="Times New Roman"/>
      <w:i/>
      <w:iCs/>
      <w:kern w:val="0"/>
      <w:sz w:val="24"/>
      <w:szCs w:val="24"/>
    </w:rPr>
  </w:style>
  <w:style w:type="character" w:customStyle="1" w:styleId="66">
    <w:name w:val="标题 9 Char"/>
    <w:link w:val="10"/>
    <w:qFormat/>
    <w:uiPriority w:val="9"/>
    <w:rPr>
      <w:rFonts w:ascii="Cambria" w:hAnsi="Cambria" w:eastAsia="宋体" w:cs="Times New Roman"/>
      <w:kern w:val="0"/>
      <w:sz w:val="22"/>
    </w:rPr>
  </w:style>
  <w:style w:type="character" w:customStyle="1" w:styleId="67">
    <w:name w:val="副标题 字符"/>
    <w:basedOn w:val="21"/>
    <w:qFormat/>
    <w:uiPriority w:val="11"/>
    <w:rPr>
      <w:b/>
      <w:bCs/>
      <w:kern w:val="28"/>
      <w:sz w:val="32"/>
      <w:szCs w:val="32"/>
    </w:rPr>
  </w:style>
  <w:style w:type="character" w:customStyle="1" w:styleId="68">
    <w:name w:val="副标题 Char"/>
    <w:link w:val="15"/>
    <w:qFormat/>
    <w:uiPriority w:val="11"/>
    <w:rPr>
      <w:rFonts w:ascii="Cambria" w:hAnsi="Cambria" w:eastAsia="宋体" w:cs="Times New Roman"/>
      <w:kern w:val="0"/>
      <w:sz w:val="24"/>
      <w:szCs w:val="24"/>
    </w:rPr>
  </w:style>
  <w:style w:type="paragraph" w:styleId="69">
    <w:name w:val="List Paragraph"/>
    <w:basedOn w:val="1"/>
    <w:qFormat/>
    <w:uiPriority w:val="34"/>
    <w:pPr>
      <w:ind w:left="720"/>
      <w:contextualSpacing/>
    </w:pPr>
  </w:style>
  <w:style w:type="paragraph" w:styleId="70">
    <w:name w:val="Quote"/>
    <w:basedOn w:val="1"/>
    <w:next w:val="1"/>
    <w:link w:val="72"/>
    <w:qFormat/>
    <w:uiPriority w:val="29"/>
    <w:rPr>
      <w:i/>
    </w:rPr>
  </w:style>
  <w:style w:type="character" w:customStyle="1" w:styleId="71">
    <w:name w:val="引用 字符"/>
    <w:basedOn w:val="21"/>
    <w:qFormat/>
    <w:uiPriority w:val="29"/>
    <w:rPr>
      <w:rFonts w:ascii="Calibri" w:hAnsi="Calibri" w:eastAsia="宋体" w:cs="Times New Roman"/>
      <w:i/>
      <w:iCs/>
      <w:color w:val="3F3F3F"/>
      <w:kern w:val="0"/>
      <w:sz w:val="24"/>
      <w:szCs w:val="24"/>
    </w:rPr>
  </w:style>
  <w:style w:type="character" w:customStyle="1" w:styleId="72">
    <w:name w:val="引用 Char"/>
    <w:link w:val="70"/>
    <w:qFormat/>
    <w:uiPriority w:val="29"/>
    <w:rPr>
      <w:rFonts w:ascii="Calibri" w:hAnsi="Calibri" w:eastAsia="宋体" w:cs="Times New Roman"/>
      <w:i/>
      <w:kern w:val="0"/>
      <w:sz w:val="24"/>
      <w:szCs w:val="24"/>
    </w:rPr>
  </w:style>
  <w:style w:type="paragraph" w:styleId="73">
    <w:name w:val="Intense Quote"/>
    <w:basedOn w:val="1"/>
    <w:next w:val="1"/>
    <w:link w:val="75"/>
    <w:qFormat/>
    <w:uiPriority w:val="30"/>
    <w:pPr>
      <w:ind w:left="720" w:right="720"/>
    </w:pPr>
    <w:rPr>
      <w:b/>
      <w:i/>
      <w:szCs w:val="22"/>
    </w:rPr>
  </w:style>
  <w:style w:type="character" w:customStyle="1" w:styleId="74">
    <w:name w:val="明显引用 字符"/>
    <w:basedOn w:val="21"/>
    <w:qFormat/>
    <w:uiPriority w:val="30"/>
    <w:rPr>
      <w:rFonts w:ascii="Calibri" w:hAnsi="Calibri" w:eastAsia="宋体" w:cs="Times New Roman"/>
      <w:i/>
      <w:iCs/>
      <w:color w:val="5B9BD5"/>
      <w:kern w:val="0"/>
      <w:sz w:val="24"/>
      <w:szCs w:val="24"/>
    </w:rPr>
  </w:style>
  <w:style w:type="character" w:customStyle="1" w:styleId="75">
    <w:name w:val="明显引用 Char"/>
    <w:link w:val="73"/>
    <w:qFormat/>
    <w:uiPriority w:val="30"/>
    <w:rPr>
      <w:rFonts w:ascii="Calibri" w:hAnsi="Calibri" w:eastAsia="宋体" w:cs="Times New Roman"/>
      <w:b/>
      <w:i/>
      <w:kern w:val="0"/>
      <w:sz w:val="24"/>
    </w:rPr>
  </w:style>
  <w:style w:type="character" w:customStyle="1" w:styleId="76">
    <w:name w:val="不明显强调1"/>
    <w:qFormat/>
    <w:uiPriority w:val="19"/>
    <w:rPr>
      <w:i/>
      <w:color w:val="5A5A5A"/>
    </w:rPr>
  </w:style>
  <w:style w:type="character" w:customStyle="1" w:styleId="77">
    <w:name w:val="明显强调1"/>
    <w:qFormat/>
    <w:uiPriority w:val="21"/>
    <w:rPr>
      <w:b/>
      <w:i/>
      <w:sz w:val="24"/>
      <w:szCs w:val="24"/>
      <w:u w:val="single"/>
    </w:rPr>
  </w:style>
  <w:style w:type="character" w:customStyle="1" w:styleId="78">
    <w:name w:val="不明显参考1"/>
    <w:qFormat/>
    <w:uiPriority w:val="31"/>
    <w:rPr>
      <w:sz w:val="24"/>
      <w:szCs w:val="24"/>
      <w:u w:val="single"/>
    </w:rPr>
  </w:style>
  <w:style w:type="character" w:customStyle="1" w:styleId="79">
    <w:name w:val="明显参考1"/>
    <w:qFormat/>
    <w:uiPriority w:val="32"/>
    <w:rPr>
      <w:b/>
      <w:sz w:val="24"/>
      <w:u w:val="single"/>
    </w:rPr>
  </w:style>
  <w:style w:type="character" w:customStyle="1" w:styleId="80">
    <w:name w:val="书籍标题1"/>
    <w:qFormat/>
    <w:uiPriority w:val="33"/>
    <w:rPr>
      <w:rFonts w:ascii="Calibri Light" w:hAnsi="Calibri Light" w:eastAsia="宋体"/>
      <w:b/>
      <w:i/>
      <w:sz w:val="24"/>
      <w:szCs w:val="24"/>
    </w:rPr>
  </w:style>
  <w:style w:type="paragraph" w:customStyle="1" w:styleId="81">
    <w:name w:val="TOC 标题1"/>
    <w:basedOn w:val="2"/>
    <w:next w:val="1"/>
    <w:qFormat/>
    <w:uiPriority w:val="39"/>
    <w:pPr>
      <w:outlineLvl w:val="9"/>
    </w:pPr>
  </w:style>
  <w:style w:type="paragraph" w:customStyle="1" w:styleId="82">
    <w:name w:val="_表格文字"/>
    <w:basedOn w:val="1"/>
    <w:qFormat/>
    <w:uiPriority w:val="0"/>
    <w:pPr>
      <w:widowControl w:val="0"/>
      <w:spacing w:beforeLines="10" w:afterLines="10"/>
      <w:jc w:val="both"/>
    </w:pPr>
    <w:rPr>
      <w:rFonts w:ascii="宋体" w:hAnsi="宋体"/>
      <w:kern w:val="2"/>
      <w:sz w:val="21"/>
    </w:rPr>
  </w:style>
  <w:style w:type="paragraph" w:customStyle="1" w:styleId="83">
    <w:name w:val="修订2"/>
    <w:qFormat/>
    <w:uiPriority w:val="99"/>
    <w:rPr>
      <w:rFonts w:ascii="Calibri" w:hAnsi="Calibri" w:eastAsia="宋体" w:cs="Times New Roman"/>
      <w:sz w:val="24"/>
      <w:szCs w:val="24"/>
      <w:lang w:val="en-US" w:eastAsia="zh-CN" w:bidi="ar-SA"/>
    </w:rPr>
  </w:style>
  <w:style w:type="paragraph" w:customStyle="1" w:styleId="84">
    <w:name w:val="修订3"/>
    <w:qFormat/>
    <w:uiPriority w:val="99"/>
    <w:rPr>
      <w:rFonts w:ascii="Calibri" w:hAnsi="Calibri" w:eastAsia="宋体" w:cs="Times New Roman"/>
      <w:sz w:val="24"/>
      <w:szCs w:val="24"/>
      <w:lang w:val="en-US" w:eastAsia="zh-CN" w:bidi="ar-SA"/>
    </w:rPr>
  </w:style>
  <w:style w:type="paragraph" w:customStyle="1" w:styleId="85">
    <w:name w:val="修订4"/>
    <w:qFormat/>
    <w:uiPriority w:val="99"/>
    <w:rPr>
      <w:rFonts w:ascii="Calibri" w:hAnsi="Calibri" w:eastAsia="宋体" w:cs="Times New Roman"/>
      <w:sz w:val="24"/>
      <w:szCs w:val="24"/>
      <w:lang w:val="en-US" w:eastAsia="zh-CN" w:bidi="ar-SA"/>
    </w:rPr>
  </w:style>
  <w:style w:type="paragraph" w:customStyle="1" w:styleId="86">
    <w:name w:val="修订5"/>
    <w:qFormat/>
    <w:uiPriority w:val="99"/>
    <w:rPr>
      <w:rFonts w:ascii="Calibri" w:hAnsi="Calibri" w:eastAsia="宋体" w:cs="Times New Roman"/>
      <w:sz w:val="24"/>
      <w:szCs w:val="24"/>
      <w:lang w:val="en-US" w:eastAsia="zh-CN" w:bidi="ar-SA"/>
    </w:rPr>
  </w:style>
  <w:style w:type="paragraph" w:customStyle="1" w:styleId="87">
    <w:name w:val="正文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8">
    <w:name w:val="修订6"/>
    <w:qFormat/>
    <w:uiPriority w:val="99"/>
    <w:rPr>
      <w:rFonts w:ascii="Calibri" w:hAnsi="Calibri" w:eastAsia="宋体" w:cs="Times New Roman"/>
      <w:sz w:val="24"/>
      <w:szCs w:val="24"/>
      <w:lang w:val="en-US" w:eastAsia="zh-CN" w:bidi="ar-SA"/>
    </w:rPr>
  </w:style>
  <w:style w:type="paragraph" w:customStyle="1" w:styleId="89">
    <w:name w:val="修订7"/>
    <w:qFormat/>
    <w:uiPriority w:val="99"/>
    <w:rPr>
      <w:rFonts w:ascii="Calibri" w:hAnsi="Calibri"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4790</Words>
  <Characters>5620</Characters>
  <Paragraphs>184</Paragraphs>
  <TotalTime>1</TotalTime>
  <ScaleCrop>false</ScaleCrop>
  <LinksUpToDate>false</LinksUpToDate>
  <CharactersWithSpaces>5732</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2025-03-19T05:59:00Z</dcterms:created>
  <dc:creator>Yue Jingsong</dc:creator>
  <cp:lastModifiedBy>scjgj</cp:lastModifiedBy>
  <cp:lastPrinted>2025-02-18T02:24:00Z</cp:lastPrinted>
  <dcterms:modified xsi:type="dcterms:W3CDTF">2025-03-19T09:27:41Z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14C9687330F447C9849BDD1368466E91_13</vt:lpwstr>
  </property>
  <property fmtid="{D5CDD505-2E9C-101B-9397-08002B2CF9AE}" pid="4" name="KSOTemplateDocerSaveRecord">
    <vt:lpwstr>eyJoZGlkIjoiN2JjNmY2YWYyZjg0YTQxYTE2NjRjMDFlNTViOTk4NDciLCJ1c2VySWQiOiIyOTMyNDE2MTMifQ==</vt:lpwstr>
  </property>
</Properties>
</file>