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color w:val="000000"/>
          <w:sz w:val="28"/>
          <w:szCs w:val="28"/>
        </w:rPr>
      </w:pPr>
      <w:bookmarkStart w:id="1" w:name="_GoBack"/>
      <w:r>
        <w:rPr>
          <w:rFonts w:hint="eastAsia" w:ascii="仿宋_GB2312" w:hAnsi="仿宋" w:eastAsia="仿宋_GB2312"/>
          <w:color w:val="000000"/>
          <w:sz w:val="28"/>
          <w:szCs w:val="28"/>
          <w:lang w:val="en-US" w:eastAsia="zh-CN"/>
        </w:rPr>
        <w:t>35款</w:t>
      </w:r>
      <w:r>
        <w:rPr>
          <w:rFonts w:hint="eastAsia" w:ascii="仿宋_GB2312" w:hAnsi="仿宋" w:eastAsia="仿宋_GB2312"/>
          <w:color w:val="000000"/>
          <w:sz w:val="28"/>
          <w:szCs w:val="28"/>
        </w:rPr>
        <w:t>读写作业台灯比较试验分级评价详</w:t>
      </w:r>
      <w:r>
        <w:rPr>
          <w:rFonts w:hint="eastAsia" w:ascii="仿宋_GB2312" w:hAnsi="仿宋" w:eastAsia="仿宋_GB2312"/>
          <w:color w:val="000000"/>
          <w:sz w:val="28"/>
          <w:szCs w:val="28"/>
          <w:lang w:val="en-US" w:eastAsia="zh-CN"/>
        </w:rPr>
        <w:t>情</w:t>
      </w:r>
      <w:r>
        <w:rPr>
          <w:rFonts w:hint="eastAsia" w:ascii="仿宋_GB2312" w:hAnsi="仿宋" w:eastAsia="仿宋_GB2312"/>
          <w:color w:val="000000"/>
          <w:sz w:val="28"/>
          <w:szCs w:val="28"/>
        </w:rPr>
        <w:t>表</w:t>
      </w:r>
    </w:p>
    <w:bookmarkEnd w:id="1"/>
    <w:tbl>
      <w:tblPr>
        <w:tblStyle w:val="3"/>
        <w:tblW w:w="13928" w:type="dxa"/>
        <w:tblInd w:w="0" w:type="dxa"/>
        <w:tblLayout w:type="fixed"/>
        <w:tblCellMar>
          <w:top w:w="15" w:type="dxa"/>
          <w:left w:w="15" w:type="dxa"/>
          <w:bottom w:w="15" w:type="dxa"/>
          <w:right w:w="15" w:type="dxa"/>
        </w:tblCellMar>
      </w:tblPr>
      <w:tblGrid>
        <w:gridCol w:w="498"/>
        <w:gridCol w:w="1362"/>
        <w:gridCol w:w="2891"/>
        <w:gridCol w:w="968"/>
        <w:gridCol w:w="1104"/>
        <w:gridCol w:w="928"/>
        <w:gridCol w:w="1391"/>
        <w:gridCol w:w="1050"/>
        <w:gridCol w:w="1486"/>
        <w:gridCol w:w="845"/>
        <w:gridCol w:w="1405"/>
      </w:tblGrid>
      <w:tr>
        <w:tblPrEx>
          <w:tblCellMar>
            <w:top w:w="15" w:type="dxa"/>
            <w:left w:w="15" w:type="dxa"/>
            <w:bottom w:w="15" w:type="dxa"/>
            <w:right w:w="15" w:type="dxa"/>
          </w:tblCellMar>
        </w:tblPrEx>
        <w:trPr>
          <w:trHeight w:val="208" w:hRule="atLeast"/>
        </w:trPr>
        <w:tc>
          <w:tcPr>
            <w:tcW w:w="498"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hint="eastAsia" w:ascii="仿宋_GB2312" w:hAnsi="仿宋" w:eastAsia="仿宋_GB2312" w:cs="宋体-方正超大字符集"/>
                <w:b/>
                <w:bCs/>
                <w:szCs w:val="21"/>
              </w:rPr>
            </w:pPr>
            <w:r>
              <w:rPr>
                <w:rFonts w:hint="eastAsia" w:ascii="仿宋_GB2312" w:hAnsi="仿宋" w:eastAsia="仿宋_GB2312" w:cs="宋体-方正超大字符集"/>
                <w:b/>
                <w:bCs/>
                <w:szCs w:val="21"/>
              </w:rPr>
              <w:t>序号</w:t>
            </w:r>
          </w:p>
        </w:tc>
        <w:tc>
          <w:tcPr>
            <w:tcW w:w="1362"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案件编号</w:t>
            </w:r>
          </w:p>
        </w:tc>
        <w:tc>
          <w:tcPr>
            <w:tcW w:w="2891" w:type="dxa"/>
            <w:vMerge w:val="restart"/>
            <w:tcBorders>
              <w:top w:val="single" w:color="000000" w:sz="4" w:space="0"/>
              <w:righ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样品来源</w:t>
            </w:r>
          </w:p>
        </w:tc>
        <w:tc>
          <w:tcPr>
            <w:tcW w:w="968"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hint="eastAsia" w:ascii="仿宋_GB2312" w:hAnsi="仿宋" w:eastAsia="仿宋_GB2312" w:cs="宋体-方正超大字符集"/>
                <w:b/>
                <w:bCs/>
                <w:szCs w:val="21"/>
              </w:rPr>
            </w:pPr>
            <w:r>
              <w:rPr>
                <w:rFonts w:hint="eastAsia" w:ascii="仿宋_GB2312" w:hAnsi="仿宋" w:eastAsia="仿宋_GB2312" w:cs="宋体-方正超大字符集"/>
                <w:b/>
                <w:bCs/>
                <w:szCs w:val="21"/>
              </w:rPr>
              <w:t>购买渠道</w:t>
            </w:r>
          </w:p>
        </w:tc>
        <w:tc>
          <w:tcPr>
            <w:tcW w:w="1104"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品牌/商标</w:t>
            </w:r>
          </w:p>
        </w:tc>
        <w:tc>
          <w:tcPr>
            <w:tcW w:w="928" w:type="dxa"/>
            <w:vMerge w:val="restart"/>
            <w:tcBorders>
              <w:top w:val="single" w:color="000000" w:sz="4" w:space="0"/>
              <w:lef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单价（元）</w:t>
            </w:r>
          </w:p>
        </w:tc>
        <w:tc>
          <w:tcPr>
            <w:tcW w:w="1391" w:type="dxa"/>
            <w:vMerge w:val="restart"/>
            <w:tcBorders>
              <w:top w:val="single" w:color="000000" w:sz="4" w:space="0"/>
              <w:left w:val="single" w:color="000000" w:sz="4" w:space="0"/>
            </w:tcBorders>
            <w:shd w:val="clear" w:color="auto" w:fill="8DB3E2"/>
            <w:noWrap w:val="0"/>
            <w:vAlign w:val="center"/>
          </w:tcPr>
          <w:p>
            <w:pPr>
              <w:jc w:val="center"/>
              <w:rPr>
                <w:rFonts w:hint="eastAsia" w:ascii="仿宋_GB2312" w:hAnsi="仿宋" w:eastAsia="仿宋_GB2312" w:cs="宋体-方正超大字符集"/>
                <w:b/>
                <w:bCs/>
                <w:szCs w:val="21"/>
              </w:rPr>
            </w:pPr>
            <w:r>
              <w:rPr>
                <w:rFonts w:hint="eastAsia" w:ascii="仿宋_GB2312" w:hAnsi="仿宋" w:eastAsia="仿宋_GB2312" w:cs="宋体-方正超大字符集"/>
                <w:b/>
                <w:bCs/>
                <w:szCs w:val="21"/>
              </w:rPr>
              <w:t>强制性标准</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推荐性标准</w:t>
            </w:r>
          </w:p>
        </w:tc>
        <w:tc>
          <w:tcPr>
            <w:tcW w:w="845"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ascii="仿宋_GB2312" w:hAnsi="仿宋" w:eastAsia="仿宋_GB2312" w:cs="宋体-方正超大字符集"/>
                <w:b/>
                <w:bCs/>
                <w:szCs w:val="21"/>
              </w:rPr>
            </w:pPr>
            <w:r>
              <w:rPr>
                <w:rFonts w:hint="eastAsia" w:ascii="仿宋_GB2312" w:hAnsi="仿宋" w:eastAsia="仿宋_GB2312" w:cs="宋体-方正超大字符集"/>
                <w:b/>
                <w:bCs/>
                <w:szCs w:val="21"/>
              </w:rPr>
              <w:t>其他</w:t>
            </w:r>
          </w:p>
        </w:tc>
        <w:tc>
          <w:tcPr>
            <w:tcW w:w="1405" w:type="dxa"/>
            <w:vMerge w:val="restart"/>
            <w:tcBorders>
              <w:top w:val="single" w:color="000000" w:sz="4" w:space="0"/>
              <w:left w:val="single" w:color="000000" w:sz="4" w:space="0"/>
              <w:right w:val="single" w:color="000000" w:sz="4" w:space="0"/>
            </w:tcBorders>
            <w:shd w:val="clear" w:color="auto" w:fill="8DB3E2"/>
            <w:noWrap w:val="0"/>
            <w:vAlign w:val="center"/>
          </w:tcPr>
          <w:p>
            <w:pPr>
              <w:jc w:val="center"/>
              <w:rPr>
                <w:rFonts w:hint="eastAsia" w:ascii="仿宋_GB2312" w:hAnsi="仿宋" w:eastAsia="仿宋_GB2312" w:cs="宋体-方正超大字符集"/>
                <w:b/>
                <w:bCs/>
                <w:szCs w:val="21"/>
              </w:rPr>
            </w:pPr>
            <w:r>
              <w:rPr>
                <w:rFonts w:hint="eastAsia" w:ascii="仿宋_GB2312" w:hAnsi="仿宋" w:eastAsia="仿宋_GB2312" w:cs="宋体-方正超大字符集"/>
                <w:b/>
                <w:bCs/>
                <w:szCs w:val="21"/>
              </w:rPr>
              <w:t>综合评级</w:t>
            </w:r>
          </w:p>
        </w:tc>
      </w:tr>
      <w:tr>
        <w:tblPrEx>
          <w:tblCellMar>
            <w:top w:w="15" w:type="dxa"/>
            <w:left w:w="15" w:type="dxa"/>
            <w:bottom w:w="15" w:type="dxa"/>
            <w:right w:w="15" w:type="dxa"/>
          </w:tblCellMar>
        </w:tblPrEx>
        <w:trPr>
          <w:trHeight w:val="208" w:hRule="atLeast"/>
        </w:trPr>
        <w:tc>
          <w:tcPr>
            <w:tcW w:w="498"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1362"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2891" w:type="dxa"/>
            <w:vMerge w:val="continue"/>
            <w:tcBorders>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968"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1104"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928" w:type="dxa"/>
            <w:vMerge w:val="continue"/>
            <w:tcBorders>
              <w:left w:val="single" w:color="000000" w:sz="4" w:space="0"/>
              <w:bottom w:val="single" w:color="000000" w:sz="4" w:space="0"/>
            </w:tcBorders>
            <w:shd w:val="clear" w:color="auto" w:fill="8DB3E2"/>
            <w:noWrap w:val="0"/>
            <w:vAlign w:val="center"/>
          </w:tcPr>
          <w:p>
            <w:pPr>
              <w:jc w:val="center"/>
              <w:rPr>
                <w:rFonts w:ascii="Calibri" w:hAnsi="Calibri" w:eastAsia="宋体" w:cs="Times New Roman"/>
              </w:rPr>
            </w:pPr>
          </w:p>
        </w:tc>
        <w:tc>
          <w:tcPr>
            <w:tcW w:w="1391" w:type="dxa"/>
            <w:vMerge w:val="continue"/>
            <w:tcBorders>
              <w:left w:val="single" w:color="000000" w:sz="4" w:space="0"/>
              <w:bottom w:val="single" w:color="000000" w:sz="4" w:space="0"/>
            </w:tcBorders>
            <w:shd w:val="clear" w:color="auto" w:fill="8DB3E2"/>
            <w:noWrap w:val="0"/>
            <w:vAlign w:val="center"/>
          </w:tcPr>
          <w:p>
            <w:pPr>
              <w:jc w:val="center"/>
              <w:rPr>
                <w:rFonts w:ascii="Calibri" w:hAnsi="Calibri" w:eastAsia="宋体" w:cs="Times New Roman"/>
              </w:rPr>
            </w:pPr>
          </w:p>
        </w:tc>
        <w:tc>
          <w:tcPr>
            <w:tcW w:w="105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Fonts w:hint="eastAsia" w:ascii="Calibri" w:hAnsi="Calibri" w:eastAsia="仿宋_GB2312" w:cs="Times New Roman"/>
                <w:lang w:val="en-US" w:eastAsia="zh-CN"/>
              </w:rPr>
            </w:pPr>
            <w:r>
              <w:rPr>
                <w:rFonts w:hint="eastAsia" w:ascii="仿宋_GB2312" w:hAnsi="仿宋" w:eastAsia="仿宋_GB2312" w:cs="宋体-方正超大字符集"/>
                <w:b/>
                <w:bCs/>
                <w:szCs w:val="21"/>
              </w:rPr>
              <w:t>标志</w:t>
            </w:r>
          </w:p>
        </w:tc>
        <w:tc>
          <w:tcPr>
            <w:tcW w:w="148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r>
              <w:rPr>
                <w:rFonts w:hint="eastAsia" w:ascii="仿宋_GB2312" w:hAnsi="仿宋" w:eastAsia="仿宋_GB2312" w:cs="宋体-方正超大字符集"/>
                <w:b/>
                <w:bCs/>
                <w:szCs w:val="21"/>
              </w:rPr>
              <w:t>安全综合等级</w:t>
            </w:r>
          </w:p>
        </w:tc>
        <w:tc>
          <w:tcPr>
            <w:tcW w:w="845"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c>
          <w:tcPr>
            <w:tcW w:w="1405" w:type="dxa"/>
            <w:vMerge w:val="continue"/>
            <w:tcBorders>
              <w:left w:val="single" w:color="000000" w:sz="4" w:space="0"/>
              <w:bottom w:val="single" w:color="000000" w:sz="4" w:space="0"/>
              <w:right w:val="single" w:color="000000" w:sz="4" w:space="0"/>
            </w:tcBorders>
            <w:shd w:val="clear" w:color="auto" w:fill="8DB3E2"/>
            <w:noWrap w:val="0"/>
            <w:vAlign w:val="center"/>
          </w:tcPr>
          <w:p>
            <w:pPr>
              <w:jc w:val="center"/>
              <w:rPr>
                <w:rFonts w:ascii="Calibri" w:hAnsi="Calibri" w:eastAsia="宋体" w:cs="Times New Roman"/>
              </w:rPr>
            </w:pP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bookmarkStart w:id="0" w:name="_Hlk88823540"/>
            <w:r>
              <w:rPr>
                <w:rFonts w:hint="eastAsia" w:ascii="仿宋_GB2312" w:hAnsi="仿宋" w:eastAsia="仿宋_GB2312" w:cs="Times New Roman"/>
                <w:color w:val="000000"/>
                <w:sz w:val="18"/>
                <w:szCs w:val="18"/>
              </w:rPr>
              <w:t>1</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EED31O81271504C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乌兰察布市维多利荣耀授权体验店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三思</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199</w:t>
            </w:r>
          </w:p>
        </w:tc>
        <w:tc>
          <w:tcPr>
            <w:tcW w:w="1391"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EED31O81463204C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锡林浩特市大世界灯具城欧普照明门店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OPPLE欧普照明</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900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EED31O81425901C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赤峰市胜球灯饰广场</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OPPLE欧普照明</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260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EED31O81271501C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乌海市名创优品万达广场乌海店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MINISO</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99.9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EED31O81271403C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乌兰察布市集宁区惠利科技有限公司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OPPLE 欧普照明</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EED31O80938802C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京东平台：芜湖雷士照明电子商务有限公司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NVC雷士照明</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339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7</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EED31O81426004C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fldChar w:fldCharType="begin"/>
            </w:r>
            <w:r>
              <w:rPr>
                <w:rFonts w:hint="eastAsia" w:ascii="仿宋_GB2312" w:hAnsi="仿宋" w:eastAsia="仿宋_GB2312" w:cs="Times New Roman"/>
                <w:color w:val="000000"/>
                <w:sz w:val="15"/>
                <w:szCs w:val="15"/>
              </w:rPr>
              <w:instrText xml:space="preserve"> HYPERLINK "https://baike.baidu.com/item/%E5%8C%85%E5%A4%B4%E5%B8%82?fromModule=lemma_inlink" \t "https://baike.baidu.com/item/%E5%86%85%E8%92%99%E5%8F%A4/_blank" </w:instrText>
            </w:r>
            <w:r>
              <w:rPr>
                <w:rFonts w:hint="eastAsia" w:ascii="仿宋_GB2312" w:hAnsi="仿宋" w:eastAsia="仿宋_GB2312" w:cs="Times New Roman"/>
                <w:color w:val="000000"/>
                <w:sz w:val="15"/>
                <w:szCs w:val="15"/>
              </w:rPr>
              <w:fldChar w:fldCharType="separate"/>
            </w:r>
            <w:r>
              <w:rPr>
                <w:rFonts w:ascii="仿宋_GB2312" w:hAnsi="仿宋" w:eastAsia="仿宋_GB2312" w:cs="Times New Roman"/>
                <w:color w:val="000000"/>
                <w:sz w:val="15"/>
                <w:szCs w:val="15"/>
              </w:rPr>
              <w:t>包头市</w:t>
            </w:r>
            <w:r>
              <w:rPr>
                <w:rFonts w:ascii="仿宋_GB2312" w:hAnsi="仿宋" w:eastAsia="仿宋_GB2312" w:cs="Times New Roman"/>
                <w:color w:val="000000"/>
                <w:sz w:val="15"/>
                <w:szCs w:val="15"/>
              </w:rPr>
              <w:fldChar w:fldCharType="end"/>
            </w:r>
            <w:r>
              <w:rPr>
                <w:rFonts w:hint="eastAsia" w:ascii="仿宋_GB2312" w:hAnsi="仿宋" w:eastAsia="仿宋_GB2312" w:cs="Times New Roman"/>
                <w:color w:val="000000"/>
                <w:sz w:val="15"/>
                <w:szCs w:val="15"/>
              </w:rPr>
              <w:t>稀土高新区品一照明经销部</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仿宋_GB2312" w:hAnsi="仿宋" w:eastAsia="仿宋_GB2312" w:cs="Times New Roman"/>
                <w:color w:val="000000"/>
                <w:szCs w:val="21"/>
              </w:rPr>
            </w:pPr>
            <w:r>
              <w:rPr>
                <w:rFonts w:hint="eastAsia" w:ascii="仿宋_GB2312" w:hAnsi="仿宋" w:eastAsia="仿宋_GB2312" w:cs="Times New Roman"/>
                <w:color w:val="000000"/>
                <w:sz w:val="15"/>
                <w:szCs w:val="15"/>
              </w:rPr>
              <w:t>PHILIPS飞利浦</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1500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8</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EED31O81271401C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通辽市科尔沁区团结路万兴旺灯具店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三雄极光 Pak</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285</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9</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EED31O81463202C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包头市包头百货大楼店护童专卖店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护童</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1799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EED31O81463203C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巴彦淖尔市临河区易淘灯饰门店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仿宋_GB2312" w:hAnsi="仿宋" w:eastAsia="仿宋_GB2312" w:cs="Times New Roman"/>
                <w:color w:val="000000"/>
                <w:szCs w:val="21"/>
              </w:rPr>
            </w:pPr>
            <w:r>
              <w:rPr>
                <w:rFonts w:hint="eastAsia" w:ascii="仿宋_GB2312" w:hAnsi="仿宋" w:eastAsia="仿宋_GB2312" w:cs="Times New Roman"/>
                <w:color w:val="000000"/>
                <w:sz w:val="15"/>
                <w:szCs w:val="15"/>
              </w:rPr>
              <w:t>BULL公牛</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800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11</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EED31O81425903C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fldChar w:fldCharType="begin"/>
            </w:r>
            <w:r>
              <w:rPr>
                <w:rFonts w:hint="eastAsia" w:ascii="仿宋_GB2312" w:hAnsi="仿宋" w:eastAsia="仿宋_GB2312" w:cs="Times New Roman"/>
                <w:color w:val="000000"/>
                <w:sz w:val="15"/>
                <w:szCs w:val="15"/>
              </w:rPr>
              <w:instrText xml:space="preserve"> HYPERLINK "https://baike.baidu.com/item/%E5%8C%85%E5%A4%B4%E5%B8%82?fromModule=lemma_inlink" \t "https://baike.baidu.com/item/%E5%86%85%E8%92%99%E5%8F%A4/_blank" </w:instrText>
            </w:r>
            <w:r>
              <w:rPr>
                <w:rFonts w:hint="eastAsia" w:ascii="仿宋_GB2312" w:hAnsi="仿宋" w:eastAsia="仿宋_GB2312" w:cs="Times New Roman"/>
                <w:color w:val="000000"/>
                <w:sz w:val="15"/>
                <w:szCs w:val="15"/>
              </w:rPr>
              <w:fldChar w:fldCharType="separate"/>
            </w:r>
            <w:r>
              <w:rPr>
                <w:rFonts w:ascii="仿宋_GB2312" w:hAnsi="仿宋" w:eastAsia="仿宋_GB2312" w:cs="Times New Roman"/>
                <w:color w:val="000000"/>
                <w:sz w:val="15"/>
                <w:szCs w:val="15"/>
              </w:rPr>
              <w:t>包头市</w:t>
            </w:r>
            <w:r>
              <w:rPr>
                <w:rFonts w:ascii="仿宋_GB2312" w:hAnsi="仿宋" w:eastAsia="仿宋_GB2312" w:cs="Times New Roman"/>
                <w:color w:val="000000"/>
                <w:sz w:val="15"/>
                <w:szCs w:val="15"/>
              </w:rPr>
              <w:fldChar w:fldCharType="end"/>
            </w:r>
            <w:r>
              <w:rPr>
                <w:rFonts w:hint="eastAsia" w:ascii="仿宋_GB2312" w:hAnsi="仿宋" w:eastAsia="仿宋_GB2312" w:cs="Times New Roman"/>
                <w:color w:val="000000"/>
                <w:sz w:val="15"/>
                <w:szCs w:val="15"/>
              </w:rPr>
              <w:t>稀土高新区品一照明经销部</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PHILIPS飞利浦</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580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EED31O81425905C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锡林浩特市孩之梦玩具店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QQfamily</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639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13</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EED31O81426005C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巴彦淖尔市临河区易淘灯饰门店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BULL公牛</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450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14</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EED31O81271503C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乌兰察布市集宁区惠利科技有限公司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nimova</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EED31O80938801C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京东平台：广州晶东贸易有限公司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Midea美的</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209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16</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EED31O80938904C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天猫平台：青岛易来智能科技股份有限公司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b/>
                <w:bCs/>
                <w:color w:val="000000"/>
                <w:sz w:val="18"/>
                <w:szCs w:val="18"/>
              </w:rPr>
              <w:t>/</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799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无品牌</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17</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EED31O80938803C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京东平台：广州晶东贸易有限公司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Panasonic松下</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129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18</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EED31O81271402C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赤峰市红山区明英灯饰城</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三雄极光 Pak</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650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19</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EED31O80938902C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京东平台：深圳市健之家科技发展有限公司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孩视宝</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899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EED31O81426001C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fldChar w:fldCharType="begin"/>
            </w:r>
            <w:r>
              <w:rPr>
                <w:rFonts w:hint="eastAsia" w:ascii="仿宋_GB2312" w:hAnsi="仿宋" w:eastAsia="仿宋_GB2312" w:cs="Times New Roman"/>
                <w:color w:val="000000"/>
                <w:sz w:val="15"/>
                <w:szCs w:val="15"/>
              </w:rPr>
              <w:instrText xml:space="preserve"> HYPERLINK "https://baike.baidu.com/item/%E5%91%BC%E4%BC%A6%E8%B4%9D%E5%B0%94%E5%B8%82?fromModule=lemma_inlink" \t "https://baike.baidu.com/item/%E5%86%85%E8%92%99%E5%8F%A4/_blank" </w:instrText>
            </w:r>
            <w:r>
              <w:rPr>
                <w:rFonts w:hint="eastAsia" w:ascii="仿宋_GB2312" w:hAnsi="仿宋" w:eastAsia="仿宋_GB2312" w:cs="Times New Roman"/>
                <w:color w:val="000000"/>
                <w:sz w:val="15"/>
                <w:szCs w:val="15"/>
              </w:rPr>
              <w:fldChar w:fldCharType="separate"/>
            </w:r>
            <w:r>
              <w:rPr>
                <w:rFonts w:ascii="仿宋_GB2312" w:hAnsi="仿宋" w:eastAsia="仿宋_GB2312" w:cs="Times New Roman"/>
                <w:color w:val="000000"/>
                <w:sz w:val="15"/>
                <w:szCs w:val="15"/>
              </w:rPr>
              <w:t>呼伦贝尔市</w:t>
            </w:r>
            <w:r>
              <w:rPr>
                <w:rFonts w:ascii="仿宋_GB2312" w:hAnsi="仿宋" w:eastAsia="仿宋_GB2312" w:cs="Times New Roman"/>
                <w:color w:val="000000"/>
                <w:sz w:val="15"/>
                <w:szCs w:val="15"/>
              </w:rPr>
              <w:fldChar w:fldCharType="end"/>
            </w:r>
            <w:r>
              <w:rPr>
                <w:rFonts w:hint="eastAsia" w:ascii="仿宋_GB2312" w:hAnsi="仿宋" w:eastAsia="仿宋_GB2312" w:cs="Times New Roman"/>
                <w:color w:val="000000"/>
                <w:sz w:val="15"/>
                <w:szCs w:val="15"/>
              </w:rPr>
              <w:t>海拉尔区孩室宝家具店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光明园迪</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598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21</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EED31O81425904C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包头市包头百货大楼店护童专卖店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护童</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1168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EED31O81463103C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鄂尔多斯市东胜区步步高教育电子产品铁西专卖店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小书童</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1598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23</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EED31O81271405C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呼和浩特市光明园迪凯元广场店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目瞳</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317"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24</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EED31O81426002C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包头百货大楼店小天才专卖店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大力智能</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950</w:t>
            </w:r>
          </w:p>
        </w:tc>
        <w:tc>
          <w:tcPr>
            <w:tcW w:w="1391" w:type="dxa"/>
            <w:tcBorders>
              <w:top w:val="single" w:color="000000" w:sz="4" w:space="0"/>
              <w:left w:val="single" w:color="000000" w:sz="4" w:space="0"/>
              <w:bottom w:val="single" w:color="000000" w:sz="4" w:space="0"/>
            </w:tcBorders>
            <w:noWrap w:val="0"/>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EED31O80938804C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京东平台：广州京东风尚贸易有限公司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Honeywell</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399</w:t>
            </w:r>
          </w:p>
        </w:tc>
        <w:tc>
          <w:tcPr>
            <w:tcW w:w="1391" w:type="dxa"/>
            <w:tcBorders>
              <w:top w:val="single" w:color="000000" w:sz="4" w:space="0"/>
              <w:left w:val="single" w:color="000000" w:sz="4" w:space="0"/>
              <w:bottom w:val="single" w:color="000000" w:sz="4" w:space="0"/>
            </w:tcBorders>
            <w:noWrap w:val="0"/>
            <w:vAlign w:val="center"/>
          </w:tcPr>
          <w:p>
            <w:pPr>
              <w:jc w:val="center"/>
              <w:rPr>
                <w:rFonts w:hint="default" w:ascii="仿宋_GB2312" w:hAnsi="仿宋" w:eastAsia="仿宋_GB2312" w:cs="Times New Roman"/>
                <w:color w:val="000000"/>
                <w:sz w:val="18"/>
                <w:szCs w:val="18"/>
                <w:lang w:val="en-US"/>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26</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EED31O81271505C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鄂尔多斯市东胜区博泽莱福士灯具销售店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莱福士光电科技</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749</w:t>
            </w:r>
          </w:p>
        </w:tc>
        <w:tc>
          <w:tcPr>
            <w:tcW w:w="1391" w:type="dxa"/>
            <w:tcBorders>
              <w:top w:val="single" w:color="000000" w:sz="4" w:space="0"/>
              <w:left w:val="single" w:color="000000" w:sz="4" w:space="0"/>
              <w:bottom w:val="single" w:color="000000" w:sz="4" w:space="0"/>
            </w:tcBorders>
            <w:noWrap w:val="0"/>
            <w:vAlign w:val="center"/>
          </w:tcPr>
          <w:p>
            <w:pPr>
              <w:jc w:val="center"/>
              <w:rPr>
                <w:rFonts w:hint="default"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27</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EED31O81463102C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鄂尔多斯市康巴什新区恒辉五金销售店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松伟灯饰</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360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28</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EED31O81463101C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fldChar w:fldCharType="begin"/>
            </w:r>
            <w:r>
              <w:rPr>
                <w:rFonts w:hint="eastAsia" w:ascii="仿宋_GB2312" w:hAnsi="仿宋" w:eastAsia="仿宋_GB2312" w:cs="Times New Roman"/>
                <w:color w:val="000000"/>
                <w:sz w:val="15"/>
                <w:szCs w:val="15"/>
              </w:rPr>
              <w:instrText xml:space="preserve"> HYPERLINK "https://baike.baidu.com/item/%E5%85%B4%E5%AE%89%E7%9B%9F?fromModule=lemma_inlink" \t "https://baike.baidu.com/item/%E5%86%85%E8%92%99%E5%8F%A4/_blank" </w:instrText>
            </w:r>
            <w:r>
              <w:rPr>
                <w:rFonts w:hint="eastAsia" w:ascii="仿宋_GB2312" w:hAnsi="仿宋" w:eastAsia="仿宋_GB2312" w:cs="Times New Roman"/>
                <w:color w:val="000000"/>
                <w:sz w:val="15"/>
                <w:szCs w:val="15"/>
              </w:rPr>
              <w:fldChar w:fldCharType="separate"/>
            </w:r>
            <w:r>
              <w:rPr>
                <w:rFonts w:ascii="仿宋_GB2312" w:hAnsi="仿宋" w:eastAsia="仿宋_GB2312" w:cs="Times New Roman"/>
                <w:color w:val="000000"/>
                <w:sz w:val="15"/>
                <w:szCs w:val="15"/>
              </w:rPr>
              <w:t>兴安盟</w:t>
            </w:r>
            <w:r>
              <w:rPr>
                <w:rFonts w:ascii="仿宋_GB2312" w:hAnsi="仿宋" w:eastAsia="仿宋_GB2312" w:cs="Times New Roman"/>
                <w:color w:val="000000"/>
                <w:sz w:val="15"/>
                <w:szCs w:val="15"/>
              </w:rPr>
              <w:fldChar w:fldCharType="end"/>
            </w:r>
            <w:r>
              <w:rPr>
                <w:rFonts w:hint="eastAsia" w:ascii="仿宋_GB2312" w:hAnsi="仿宋" w:eastAsia="仿宋_GB2312" w:cs="Times New Roman"/>
                <w:color w:val="000000"/>
                <w:sz w:val="15"/>
                <w:szCs w:val="15"/>
              </w:rPr>
              <w:t>内蒙古福锐百货大楼灯饰门店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莱福士光电科技</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399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29</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EED31O80938903C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天猫平台：上海聚谦贸易有限公司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良亮灯饰</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99</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EED31O81271404C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乌兰浩特市优童</w:t>
            </w:r>
            <w:r>
              <w:rPr>
                <w:rFonts w:hint="eastAsia" w:ascii="仿宋_GB2312" w:hAnsi="仿宋" w:eastAsia="仿宋_GB2312" w:cs="Times New Roman"/>
                <w:color w:val="000000"/>
                <w:sz w:val="15"/>
                <w:szCs w:val="15"/>
                <w:lang w:val="en-US" w:eastAsia="zh-CN"/>
              </w:rPr>
              <w:t>学</w:t>
            </w:r>
            <w:r>
              <w:rPr>
                <w:rFonts w:hint="eastAsia" w:ascii="仿宋_GB2312" w:hAnsi="仿宋" w:eastAsia="仿宋_GB2312" w:cs="Times New Roman"/>
                <w:color w:val="000000"/>
                <w:sz w:val="15"/>
                <w:szCs w:val="15"/>
              </w:rPr>
              <w:t>习用品店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优童</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898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31</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EED31O81271502C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呼伦贝尔市海拉尔区孩室宝家具店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优洋</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498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EED31O81425902C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呼和浩特市维多利摩尔城博士有成学习桌门店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博士有成</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718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33</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EED31O81426003C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包头市青山区创想宝贝文化用品门店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Cs w:val="21"/>
              </w:rPr>
            </w:pPr>
            <w:r>
              <w:rPr>
                <w:rFonts w:hint="eastAsia" w:ascii="仿宋_GB2312" w:hAnsi="仿宋" w:eastAsia="仿宋_GB2312" w:cs="Times New Roman"/>
                <w:color w:val="000000"/>
                <w:sz w:val="15"/>
                <w:szCs w:val="15"/>
              </w:rPr>
              <w:t>优童</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980</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lang w:val="en-US" w:eastAsia="zh-CN"/>
              </w:rPr>
              <w:t>—</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34</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EED31O81463201C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鄂尔多斯市东胜区步步高教育电子产品铁西专卖店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实体店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b/>
                <w:bCs/>
                <w:color w:val="000000"/>
                <w:sz w:val="18"/>
                <w:szCs w:val="18"/>
              </w:rPr>
            </w:pPr>
            <w:r>
              <w:rPr>
                <w:rFonts w:hint="eastAsia" w:ascii="仿宋_GB2312" w:hAnsi="仿宋" w:eastAsia="仿宋_GB2312" w:cs="Times New Roman"/>
                <w:b/>
                <w:bCs/>
                <w:color w:val="000000"/>
                <w:sz w:val="18"/>
                <w:szCs w:val="18"/>
              </w:rPr>
              <w:t>/</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598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无品牌</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不予评级</w:t>
            </w:r>
          </w:p>
        </w:tc>
      </w:tr>
      <w:tr>
        <w:tblPrEx>
          <w:tblCellMar>
            <w:top w:w="15" w:type="dxa"/>
            <w:left w:w="15" w:type="dxa"/>
            <w:bottom w:w="15" w:type="dxa"/>
            <w:right w:w="15"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EED31O80938901C</w:t>
            </w:r>
          </w:p>
        </w:tc>
        <w:tc>
          <w:tcPr>
            <w:tcW w:w="2891" w:type="dxa"/>
            <w:tcBorders>
              <w:top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京东平台：光彩年华（北京）家居礼品有限公司</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电商平台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 w:eastAsia="仿宋_GB2312" w:cs="Times New Roman"/>
                <w:b/>
                <w:bCs/>
                <w:color w:val="000000"/>
                <w:sz w:val="18"/>
                <w:szCs w:val="18"/>
              </w:rPr>
            </w:pPr>
            <w:r>
              <w:rPr>
                <w:rFonts w:hint="eastAsia" w:ascii="仿宋_GB2312" w:hAnsi="仿宋" w:eastAsia="仿宋_GB2312" w:cs="Times New Roman"/>
                <w:b/>
                <w:bCs/>
                <w:color w:val="000000"/>
                <w:sz w:val="18"/>
                <w:szCs w:val="18"/>
              </w:rPr>
              <w:t>/</w:t>
            </w:r>
          </w:p>
        </w:tc>
        <w:tc>
          <w:tcPr>
            <w:tcW w:w="928"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128</w:t>
            </w:r>
          </w:p>
        </w:tc>
        <w:tc>
          <w:tcPr>
            <w:tcW w:w="1391" w:type="dxa"/>
            <w:tcBorders>
              <w:top w:val="single" w:color="000000" w:sz="4" w:space="0"/>
              <w:left w:val="single" w:color="000000" w:sz="4" w:space="0"/>
              <w:bottom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lang w:val="en-US" w:eastAsia="zh-CN"/>
              </w:rPr>
              <w:t>不符合标准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不符合</w:t>
            </w:r>
            <w:r>
              <w:rPr>
                <w:rFonts w:hint="eastAsia" w:ascii="仿宋_GB2312" w:hAnsi="仿宋" w:eastAsia="仿宋_GB2312" w:cs="Times New Roman"/>
                <w:color w:val="000000"/>
                <w:sz w:val="18"/>
                <w:szCs w:val="18"/>
                <w:lang w:val="en-US" w:eastAsia="zh-CN"/>
              </w:rPr>
              <w:t>标准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仿宋_GB2312" w:hAnsi="仿宋" w:eastAsia="仿宋_GB2312" w:cs="Times New Roman"/>
                <w:color w:val="000000"/>
                <w:sz w:val="15"/>
                <w:szCs w:val="15"/>
              </w:rPr>
            </w:pPr>
            <w:r>
              <w:rPr>
                <w:rFonts w:hint="eastAsia" w:ascii="仿宋_GB2312" w:hAnsi="仿宋" w:eastAsia="仿宋_GB2312" w:cs="Times New Roman"/>
                <w:color w:val="000000"/>
                <w:sz w:val="15"/>
                <w:szCs w:val="15"/>
              </w:rPr>
              <w:t>无品牌</w:t>
            </w:r>
          </w:p>
          <w:p>
            <w:pPr>
              <w:spacing w:line="200" w:lineRule="exact"/>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5"/>
                <w:szCs w:val="15"/>
              </w:rPr>
              <w:t>/无3C</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不予评级</w:t>
            </w:r>
          </w:p>
        </w:tc>
      </w:tr>
      <w:bookmarkEnd w:id="0"/>
    </w:tbl>
    <w:p>
      <w:pPr>
        <w:snapToGrid w:val="0"/>
        <w:spacing w:line="440" w:lineRule="exact"/>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备注：</w:t>
      </w:r>
    </w:p>
    <w:p>
      <w:pPr>
        <w:numPr>
          <w:ilvl w:val="0"/>
          <w:numId w:val="0"/>
        </w:numPr>
        <w:snapToGrid w:val="0"/>
        <w:spacing w:line="440" w:lineRule="exact"/>
        <w:rPr>
          <w:rFonts w:hint="eastAsia" w:ascii="仿宋_GB2312" w:hAnsi="仿宋" w:eastAsia="仿宋_GB2312"/>
          <w:color w:val="000000"/>
          <w:sz w:val="22"/>
          <w:szCs w:val="22"/>
        </w:rPr>
      </w:pPr>
      <w:r>
        <w:rPr>
          <w:rFonts w:hint="eastAsia" w:ascii="仿宋_GB2312" w:hAnsi="仿宋" w:eastAsia="仿宋_GB2312"/>
          <w:color w:val="000000"/>
          <w:sz w:val="22"/>
          <w:szCs w:val="22"/>
          <w:lang w:val="en-US" w:eastAsia="zh-CN"/>
        </w:rPr>
        <w:t>1.</w:t>
      </w:r>
      <w:r>
        <w:rPr>
          <w:rFonts w:hint="eastAsia" w:ascii="仿宋_GB2312" w:hAnsi="仿宋" w:eastAsia="仿宋_GB2312"/>
          <w:color w:val="000000"/>
          <w:sz w:val="22"/>
          <w:szCs w:val="22"/>
        </w:rPr>
        <w:t>评级结果用“★”表示，“★”越多结果越好，</w:t>
      </w:r>
      <w:r>
        <w:rPr>
          <w:rFonts w:hint="eastAsia" w:ascii="仿宋_GB2312" w:hAnsi="仿宋" w:eastAsia="仿宋_GB2312"/>
          <w:color w:val="000000"/>
          <w:sz w:val="22"/>
          <w:szCs w:val="22"/>
          <w:u w:val="none"/>
        </w:rPr>
        <w:t>同星</w:t>
      </w:r>
      <w:r>
        <w:rPr>
          <w:rFonts w:hint="eastAsia" w:ascii="仿宋_GB2312" w:hAnsi="仿宋" w:eastAsia="仿宋_GB2312"/>
          <w:color w:val="000000"/>
          <w:sz w:val="22"/>
          <w:szCs w:val="22"/>
          <w:u w:val="none"/>
          <w:lang w:eastAsia="zh-CN"/>
        </w:rPr>
        <w:t>样品排名</w:t>
      </w:r>
      <w:r>
        <w:rPr>
          <w:rFonts w:hint="default" w:ascii="仿宋_GB2312" w:hAnsi="仿宋" w:eastAsia="仿宋_GB2312"/>
          <w:color w:val="000000"/>
          <w:sz w:val="22"/>
          <w:szCs w:val="22"/>
          <w:u w:val="none"/>
          <w:lang w:eastAsia="zh-CN"/>
        </w:rPr>
        <w:t>不</w:t>
      </w:r>
      <w:r>
        <w:rPr>
          <w:rFonts w:hint="eastAsia" w:ascii="仿宋_GB2312" w:hAnsi="仿宋" w:eastAsia="仿宋_GB2312"/>
          <w:color w:val="000000"/>
          <w:sz w:val="22"/>
          <w:szCs w:val="22"/>
          <w:u w:val="none"/>
          <w:lang w:eastAsia="zh-CN"/>
        </w:rPr>
        <w:t>分先后</w:t>
      </w:r>
      <w:r>
        <w:rPr>
          <w:rFonts w:hint="eastAsia" w:ascii="仿宋_GB2312" w:hAnsi="仿宋" w:eastAsia="仿宋_GB2312"/>
          <w:color w:val="000000"/>
          <w:sz w:val="22"/>
          <w:szCs w:val="22"/>
        </w:rPr>
        <w:t>。</w:t>
      </w:r>
      <w:r>
        <w:rPr>
          <w:rFonts w:hint="eastAsia" w:ascii="仿宋_GB2312" w:hAnsi="仿宋" w:eastAsia="仿宋_GB2312"/>
          <w:color w:val="000000"/>
          <w:sz w:val="22"/>
          <w:szCs w:val="22"/>
        </w:rPr>
        <w:br w:type="textWrapping"/>
      </w:r>
      <w:r>
        <w:rPr>
          <w:rFonts w:hint="eastAsia" w:ascii="仿宋_GB2312" w:hAnsi="仿宋" w:eastAsia="仿宋_GB2312"/>
          <w:color w:val="000000"/>
          <w:sz w:val="22"/>
          <w:szCs w:val="22"/>
        </w:rPr>
        <w:t>2.总评“</w:t>
      </w:r>
      <w:r>
        <w:rPr>
          <w:rFonts w:hint="eastAsia" w:ascii="仿宋_GB2312" w:hAnsi="仿宋" w:eastAsia="仿宋_GB2312" w:cs="Times New Roman"/>
          <w:color w:val="000000"/>
          <w:sz w:val="22"/>
          <w:szCs w:val="22"/>
          <w:lang w:val="en-US" w:eastAsia="zh-CN"/>
        </w:rPr>
        <w:t>七</w:t>
      </w:r>
      <w:r>
        <w:rPr>
          <w:rFonts w:hint="eastAsia" w:ascii="仿宋_GB2312" w:hAnsi="仿宋" w:eastAsia="仿宋_GB2312" w:cs="Times New Roman"/>
          <w:color w:val="000000"/>
          <w:sz w:val="22"/>
          <w:szCs w:val="22"/>
        </w:rPr>
        <w:t>星”为全部达到本次比较试验所测试项目的标准要求，且安全指标优秀，总体表现卓越；“</w:t>
      </w:r>
      <w:r>
        <w:rPr>
          <w:rFonts w:hint="eastAsia" w:ascii="仿宋_GB2312" w:hAnsi="仿宋" w:eastAsia="仿宋_GB2312" w:cs="Times New Roman"/>
          <w:color w:val="000000"/>
          <w:sz w:val="22"/>
          <w:szCs w:val="22"/>
          <w:lang w:val="en-US" w:eastAsia="zh-CN"/>
        </w:rPr>
        <w:t>六</w:t>
      </w:r>
      <w:r>
        <w:rPr>
          <w:rFonts w:hint="eastAsia" w:ascii="仿宋_GB2312" w:hAnsi="仿宋" w:eastAsia="仿宋_GB2312" w:cs="Times New Roman"/>
          <w:color w:val="000000"/>
          <w:sz w:val="22"/>
          <w:szCs w:val="22"/>
        </w:rPr>
        <w:t>星”为强制性标准和推荐性标准测试项目符合要求，安全指标良好；安全指标优秀，但产品没有商标品牌，总体表现优秀；“</w:t>
      </w:r>
      <w:r>
        <w:rPr>
          <w:rFonts w:hint="eastAsia" w:ascii="仿宋_GB2312" w:hAnsi="仿宋" w:eastAsia="仿宋_GB2312" w:cs="Times New Roman"/>
          <w:color w:val="000000"/>
          <w:sz w:val="22"/>
          <w:szCs w:val="22"/>
          <w:lang w:val="en-US" w:eastAsia="zh-CN"/>
        </w:rPr>
        <w:t>五</w:t>
      </w:r>
      <w:r>
        <w:rPr>
          <w:rFonts w:hint="eastAsia" w:ascii="仿宋_GB2312" w:hAnsi="仿宋" w:eastAsia="仿宋_GB2312" w:cs="Times New Roman"/>
          <w:color w:val="000000"/>
          <w:sz w:val="22"/>
          <w:szCs w:val="22"/>
        </w:rPr>
        <w:t>星”为强制性标准和推荐性标准测试项目符合要求，安全指标一般；强制性标准测试项目符合要求，推荐性标准个别测试项目不符合要求，安全指标良好，总体表现良好；</w:t>
      </w:r>
      <w:r>
        <w:rPr>
          <w:rFonts w:hint="eastAsia" w:ascii="仿宋_GB2312" w:hAnsi="仿宋" w:eastAsia="仿宋_GB2312" w:cs="Times New Roman"/>
          <w:color w:val="000000"/>
          <w:sz w:val="22"/>
          <w:szCs w:val="22"/>
          <w:lang w:eastAsia="zh-CN"/>
        </w:rPr>
        <w:t>“</w:t>
      </w:r>
      <w:r>
        <w:rPr>
          <w:rFonts w:hint="eastAsia" w:ascii="仿宋_GB2312" w:hAnsi="仿宋" w:eastAsia="仿宋_GB2312" w:cs="Times New Roman"/>
          <w:color w:val="000000"/>
          <w:sz w:val="22"/>
          <w:szCs w:val="22"/>
          <w:lang w:val="en-US" w:eastAsia="zh-CN"/>
        </w:rPr>
        <w:t>四星</w:t>
      </w:r>
      <w:r>
        <w:rPr>
          <w:rFonts w:hint="eastAsia" w:ascii="仿宋_GB2312" w:hAnsi="仿宋" w:eastAsia="仿宋_GB2312" w:cs="Times New Roman"/>
          <w:color w:val="000000"/>
          <w:sz w:val="22"/>
          <w:szCs w:val="22"/>
          <w:lang w:eastAsia="zh-CN"/>
        </w:rPr>
        <w:t>”</w:t>
      </w:r>
      <w:r>
        <w:rPr>
          <w:rFonts w:hint="eastAsia" w:ascii="仿宋_GB2312" w:hAnsi="仿宋" w:eastAsia="仿宋_GB2312" w:cs="Times New Roman"/>
          <w:color w:val="000000"/>
          <w:sz w:val="22"/>
          <w:szCs w:val="22"/>
          <w:lang w:val="en-US" w:eastAsia="zh-CN"/>
        </w:rPr>
        <w:t>为</w:t>
      </w:r>
      <w:r>
        <w:rPr>
          <w:rFonts w:hint="eastAsia" w:ascii="仿宋_GB2312" w:hAnsi="仿宋" w:eastAsia="仿宋_GB2312" w:cs="Times New Roman"/>
          <w:color w:val="000000"/>
          <w:sz w:val="22"/>
          <w:szCs w:val="22"/>
        </w:rPr>
        <w:t>强制性标准测试项目</w:t>
      </w:r>
      <w:r>
        <w:rPr>
          <w:rFonts w:hint="eastAsia" w:ascii="仿宋_GB2312" w:hAnsi="仿宋" w:eastAsia="仿宋_GB2312" w:cs="Times New Roman"/>
          <w:color w:val="000000"/>
          <w:sz w:val="22"/>
          <w:szCs w:val="22"/>
          <w:lang w:val="en-US" w:eastAsia="zh-CN"/>
        </w:rPr>
        <w:t>符合标准要求</w:t>
      </w:r>
      <w:r>
        <w:rPr>
          <w:rFonts w:hint="eastAsia" w:ascii="仿宋_GB2312" w:hAnsi="仿宋" w:eastAsia="仿宋_GB2312" w:cs="Times New Roman"/>
          <w:color w:val="000000"/>
          <w:sz w:val="22"/>
          <w:szCs w:val="22"/>
        </w:rPr>
        <w:t>，推荐性标准个别测试项目不符合要求，安全指标一般</w:t>
      </w:r>
      <w:r>
        <w:rPr>
          <w:rFonts w:hint="eastAsia" w:ascii="仿宋_GB2312" w:hAnsi="仿宋" w:eastAsia="仿宋_GB2312" w:cs="Times New Roman"/>
          <w:color w:val="000000"/>
          <w:sz w:val="22"/>
          <w:szCs w:val="22"/>
          <w:lang w:eastAsia="zh-CN"/>
        </w:rPr>
        <w:t>。</w:t>
      </w:r>
    </w:p>
    <w:p>
      <w:pPr>
        <w:numPr>
          <w:ilvl w:val="0"/>
          <w:numId w:val="0"/>
        </w:numPr>
        <w:snapToGrid w:val="0"/>
        <w:spacing w:line="440" w:lineRule="exact"/>
        <w:rPr>
          <w:rFonts w:hint="eastAsia" w:ascii="仿宋_GB2312" w:hAnsi="仿宋" w:eastAsia="仿宋_GB2312"/>
          <w:color w:val="000000"/>
          <w:sz w:val="22"/>
          <w:szCs w:val="22"/>
        </w:rPr>
      </w:pPr>
      <w:r>
        <w:rPr>
          <w:rFonts w:hint="eastAsia" w:ascii="仿宋_GB2312" w:hAnsi="仿宋" w:eastAsia="仿宋_GB2312" w:cs="Times New Roman"/>
          <w:color w:val="000000"/>
          <w:sz w:val="22"/>
          <w:szCs w:val="22"/>
          <w:lang w:eastAsia="zh-CN"/>
        </w:rPr>
        <w:t>“</w:t>
      </w:r>
      <w:r>
        <w:rPr>
          <w:rFonts w:hint="eastAsia" w:ascii="仿宋_GB2312" w:hAnsi="仿宋" w:eastAsia="仿宋_GB2312" w:cs="Times New Roman"/>
          <w:color w:val="000000"/>
          <w:sz w:val="22"/>
          <w:szCs w:val="22"/>
          <w:lang w:val="en-US" w:eastAsia="zh-CN"/>
        </w:rPr>
        <w:t>三星</w:t>
      </w:r>
      <w:r>
        <w:rPr>
          <w:rFonts w:hint="eastAsia" w:ascii="仿宋_GB2312" w:hAnsi="仿宋" w:eastAsia="仿宋_GB2312" w:cs="Times New Roman"/>
          <w:color w:val="000000"/>
          <w:sz w:val="22"/>
          <w:szCs w:val="22"/>
          <w:lang w:eastAsia="zh-CN"/>
        </w:rPr>
        <w:t>”</w:t>
      </w:r>
      <w:r>
        <w:rPr>
          <w:rFonts w:hint="eastAsia" w:ascii="仿宋_GB2312" w:hAnsi="仿宋" w:eastAsia="仿宋_GB2312" w:cs="Times New Roman"/>
          <w:color w:val="000000"/>
          <w:sz w:val="22"/>
          <w:szCs w:val="22"/>
          <w:lang w:val="en-US" w:eastAsia="zh-CN"/>
        </w:rPr>
        <w:t>为</w:t>
      </w:r>
      <w:r>
        <w:rPr>
          <w:rFonts w:hint="eastAsia" w:ascii="仿宋_GB2312" w:hAnsi="仿宋" w:eastAsia="仿宋_GB2312" w:cs="Times New Roman"/>
          <w:color w:val="000000"/>
          <w:sz w:val="22"/>
          <w:szCs w:val="22"/>
        </w:rPr>
        <w:t>强制性标准</w:t>
      </w:r>
      <w:r>
        <w:rPr>
          <w:rFonts w:hint="eastAsia" w:ascii="仿宋_GB2312" w:hAnsi="仿宋" w:eastAsia="仿宋_GB2312" w:cs="Times New Roman"/>
          <w:color w:val="000000"/>
          <w:sz w:val="22"/>
          <w:szCs w:val="22"/>
          <w:lang w:val="en-US" w:eastAsia="zh-CN"/>
        </w:rPr>
        <w:t>个别</w:t>
      </w:r>
      <w:r>
        <w:rPr>
          <w:rFonts w:hint="eastAsia" w:ascii="仿宋_GB2312" w:hAnsi="仿宋" w:eastAsia="仿宋_GB2312" w:cs="Times New Roman"/>
          <w:color w:val="000000"/>
          <w:sz w:val="22"/>
          <w:szCs w:val="22"/>
        </w:rPr>
        <w:t>测试项目不</w:t>
      </w:r>
      <w:r>
        <w:rPr>
          <w:rFonts w:hint="eastAsia" w:ascii="仿宋_GB2312" w:hAnsi="仿宋" w:eastAsia="仿宋_GB2312" w:cs="Times New Roman"/>
          <w:color w:val="000000"/>
          <w:sz w:val="22"/>
          <w:szCs w:val="22"/>
          <w:lang w:val="en-US" w:eastAsia="zh-CN"/>
        </w:rPr>
        <w:t>符合标准要求</w:t>
      </w:r>
      <w:r>
        <w:rPr>
          <w:rFonts w:hint="eastAsia" w:ascii="仿宋_GB2312" w:hAnsi="仿宋" w:eastAsia="仿宋_GB2312" w:cs="Times New Roman"/>
          <w:color w:val="000000"/>
          <w:sz w:val="22"/>
          <w:szCs w:val="22"/>
        </w:rPr>
        <w:t>，推荐性标准测试项目符合要求，安全指标良好；强制性标准和推荐性标准都存在个别测试项目不符合要求，安全指标优秀；“二星”为强制性标准和推荐性标准都存在个别测试项目不符合要求，安全指标良好</w:t>
      </w:r>
      <w:r>
        <w:rPr>
          <w:rFonts w:hint="eastAsia" w:ascii="仿宋_GB2312" w:hAnsi="仿宋" w:eastAsia="仿宋_GB2312"/>
          <w:color w:val="000000"/>
          <w:sz w:val="22"/>
          <w:szCs w:val="22"/>
        </w:rPr>
        <w:t>；“一星”</w:t>
      </w:r>
      <w:r>
        <w:rPr>
          <w:rFonts w:hint="eastAsia" w:ascii="仿宋_GB2312" w:hAnsi="仿宋" w:eastAsia="仿宋_GB2312" w:cs="Times New Roman"/>
          <w:color w:val="000000"/>
          <w:sz w:val="22"/>
          <w:szCs w:val="22"/>
        </w:rPr>
        <w:t>为强制性</w:t>
      </w:r>
      <w:r>
        <w:rPr>
          <w:rFonts w:hint="eastAsia" w:ascii="仿宋_GB2312" w:hAnsi="仿宋" w:eastAsia="仿宋_GB2312" w:cs="Times New Roman"/>
          <w:color w:val="000000"/>
          <w:sz w:val="22"/>
          <w:szCs w:val="22"/>
          <w:lang w:val="en-US" w:eastAsia="zh-CN"/>
        </w:rPr>
        <w:t>标准</w:t>
      </w:r>
      <w:r>
        <w:rPr>
          <w:rFonts w:hint="eastAsia" w:ascii="仿宋_GB2312" w:hAnsi="仿宋" w:eastAsia="仿宋_GB2312" w:cs="Times New Roman"/>
          <w:color w:val="000000"/>
          <w:sz w:val="22"/>
          <w:szCs w:val="22"/>
        </w:rPr>
        <w:t>和推荐性</w:t>
      </w:r>
      <w:r>
        <w:rPr>
          <w:rFonts w:hint="eastAsia" w:ascii="仿宋_GB2312" w:hAnsi="仿宋" w:eastAsia="仿宋_GB2312" w:cs="Times New Roman"/>
          <w:color w:val="000000"/>
          <w:sz w:val="22"/>
          <w:szCs w:val="22"/>
          <w:lang w:val="en-US" w:eastAsia="zh-CN"/>
        </w:rPr>
        <w:t>标准</w:t>
      </w:r>
      <w:r>
        <w:rPr>
          <w:rFonts w:hint="eastAsia" w:ascii="仿宋_GB2312" w:hAnsi="仿宋" w:eastAsia="仿宋_GB2312" w:cs="Times New Roman"/>
          <w:color w:val="000000"/>
          <w:sz w:val="22"/>
          <w:szCs w:val="22"/>
        </w:rPr>
        <w:t>都存在个别测试项目不符合要求，安全指标一般</w:t>
      </w:r>
      <w:r>
        <w:rPr>
          <w:rFonts w:hint="eastAsia" w:ascii="仿宋_GB2312" w:hAnsi="仿宋" w:eastAsia="仿宋_GB2312"/>
          <w:color w:val="000000"/>
          <w:sz w:val="22"/>
          <w:szCs w:val="22"/>
        </w:rPr>
        <w:t>；“不予评级”</w:t>
      </w:r>
      <w:r>
        <w:rPr>
          <w:rFonts w:hint="eastAsia" w:ascii="仿宋_GB2312" w:hAnsi="仿宋" w:eastAsia="仿宋_GB2312" w:cs="Times New Roman"/>
          <w:color w:val="000000"/>
          <w:sz w:val="22"/>
          <w:szCs w:val="22"/>
        </w:rPr>
        <w:t>为强制性</w:t>
      </w:r>
      <w:r>
        <w:rPr>
          <w:rFonts w:hint="eastAsia" w:ascii="仿宋_GB2312" w:hAnsi="仿宋" w:eastAsia="仿宋_GB2312" w:cs="Times New Roman"/>
          <w:color w:val="000000"/>
          <w:sz w:val="22"/>
          <w:szCs w:val="22"/>
          <w:lang w:val="en-US" w:eastAsia="zh-CN"/>
        </w:rPr>
        <w:t>标准</w:t>
      </w:r>
      <w:r>
        <w:rPr>
          <w:rFonts w:hint="eastAsia" w:ascii="仿宋_GB2312" w:hAnsi="仿宋" w:eastAsia="仿宋_GB2312" w:cs="Times New Roman"/>
          <w:color w:val="000000"/>
          <w:sz w:val="22"/>
          <w:szCs w:val="22"/>
        </w:rPr>
        <w:t>和推荐性</w:t>
      </w:r>
      <w:r>
        <w:rPr>
          <w:rFonts w:hint="eastAsia" w:ascii="仿宋_GB2312" w:hAnsi="仿宋" w:eastAsia="仿宋_GB2312" w:cs="Times New Roman"/>
          <w:color w:val="000000"/>
          <w:sz w:val="22"/>
          <w:szCs w:val="22"/>
          <w:lang w:val="en-US" w:eastAsia="zh-CN"/>
        </w:rPr>
        <w:t>标准</w:t>
      </w:r>
      <w:r>
        <w:rPr>
          <w:rFonts w:hint="eastAsia" w:ascii="仿宋_GB2312" w:hAnsi="仿宋" w:eastAsia="仿宋_GB2312" w:cs="Times New Roman"/>
          <w:color w:val="000000"/>
          <w:sz w:val="22"/>
          <w:szCs w:val="22"/>
        </w:rPr>
        <w:t>都存在个别测试项目不符合要求，产品</w:t>
      </w:r>
      <w:r>
        <w:rPr>
          <w:rFonts w:hint="eastAsia" w:ascii="仿宋_GB2312" w:hAnsi="仿宋" w:eastAsia="仿宋_GB2312" w:cs="Times New Roman"/>
          <w:color w:val="000000"/>
          <w:sz w:val="22"/>
          <w:szCs w:val="22"/>
          <w:lang w:val="en-US" w:eastAsia="zh-CN"/>
        </w:rPr>
        <w:t>未获得星级</w:t>
      </w:r>
      <w:r>
        <w:rPr>
          <w:rFonts w:hint="eastAsia" w:ascii="仿宋_GB2312" w:hAnsi="仿宋" w:eastAsia="仿宋_GB2312" w:cs="Times New Roman"/>
          <w:color w:val="000000"/>
          <w:sz w:val="22"/>
          <w:szCs w:val="22"/>
        </w:rPr>
        <w:t>或无“CCC”认证</w:t>
      </w:r>
      <w:r>
        <w:rPr>
          <w:rFonts w:hint="eastAsia" w:ascii="仿宋_GB2312" w:hAnsi="仿宋" w:eastAsia="仿宋_GB2312" w:cs="Times New Roman"/>
          <w:color w:val="000000"/>
          <w:sz w:val="22"/>
          <w:szCs w:val="22"/>
          <w:lang w:eastAsia="zh-CN"/>
        </w:rPr>
        <w:t>。</w:t>
      </w:r>
      <w:r>
        <w:rPr>
          <w:rFonts w:hint="eastAsia" w:ascii="仿宋_GB2312" w:hAnsi="仿宋" w:eastAsia="仿宋_GB2312"/>
          <w:color w:val="000000"/>
          <w:sz w:val="22"/>
          <w:szCs w:val="22"/>
        </w:rPr>
        <w:br w:type="textWrapping"/>
      </w:r>
      <w:r>
        <w:rPr>
          <w:rFonts w:hint="eastAsia" w:ascii="仿宋_GB2312" w:hAnsi="仿宋" w:eastAsia="仿宋_GB2312"/>
          <w:color w:val="000000"/>
          <w:sz w:val="22"/>
          <w:szCs w:val="22"/>
        </w:rPr>
        <w:t>3.对于强制性标准</w:t>
      </w:r>
      <w:r>
        <w:rPr>
          <w:rFonts w:hint="eastAsia" w:ascii="仿宋_GB2312" w:hAnsi="仿宋" w:eastAsia="仿宋_GB2312"/>
          <w:color w:val="000000"/>
          <w:sz w:val="22"/>
          <w:szCs w:val="22"/>
          <w:lang w:val="en-US" w:eastAsia="zh-CN"/>
        </w:rPr>
        <w:t>要求</w:t>
      </w:r>
      <w:r>
        <w:rPr>
          <w:rFonts w:hint="eastAsia" w:ascii="仿宋_GB2312" w:hAnsi="仿宋" w:eastAsia="仿宋_GB2312"/>
          <w:color w:val="000000"/>
          <w:sz w:val="22"/>
          <w:szCs w:val="22"/>
        </w:rPr>
        <w:t>，选取读写作业台灯的结构、防触电保护、标记三</w:t>
      </w:r>
      <w:r>
        <w:rPr>
          <w:rFonts w:hint="eastAsia" w:ascii="仿宋_GB2312" w:hAnsi="仿宋" w:eastAsia="仿宋_GB2312"/>
          <w:color w:val="000000"/>
          <w:sz w:val="22"/>
          <w:szCs w:val="22"/>
          <w:lang w:val="en-US" w:eastAsia="zh-CN"/>
        </w:rPr>
        <w:t>个</w:t>
      </w:r>
      <w:r>
        <w:rPr>
          <w:rFonts w:hint="eastAsia" w:ascii="仿宋_GB2312" w:hAnsi="仿宋" w:eastAsia="仿宋_GB2312"/>
          <w:color w:val="000000"/>
          <w:sz w:val="22"/>
          <w:szCs w:val="22"/>
        </w:rPr>
        <w:t>项目进行评估，</w:t>
      </w:r>
      <w:r>
        <w:rPr>
          <w:rFonts w:hint="eastAsia" w:ascii="仿宋_GB2312" w:hAnsi="仿宋" w:eastAsia="仿宋_GB2312"/>
          <w:color w:val="000000"/>
          <w:sz w:val="22"/>
          <w:szCs w:val="22"/>
          <w:lang w:val="en-US" w:eastAsia="zh-CN"/>
        </w:rPr>
        <w:t>若有一项测试不符合标准，判定不符合标准要求，共有</w:t>
      </w:r>
      <w:r>
        <w:rPr>
          <w:rFonts w:hint="eastAsia" w:ascii="仿宋_GB2312" w:hAnsi="仿宋" w:eastAsia="仿宋_GB2312"/>
          <w:color w:val="000000"/>
          <w:sz w:val="22"/>
          <w:szCs w:val="22"/>
        </w:rPr>
        <w:t>12款</w:t>
      </w:r>
      <w:r>
        <w:rPr>
          <w:rFonts w:hint="eastAsia" w:ascii="仿宋_GB2312" w:hAnsi="仿宋" w:eastAsia="仿宋_GB2312"/>
          <w:color w:val="000000"/>
          <w:sz w:val="22"/>
          <w:szCs w:val="22"/>
          <w:lang w:val="en-US" w:eastAsia="zh-CN"/>
        </w:rPr>
        <w:t>产品不</w:t>
      </w:r>
      <w:r>
        <w:rPr>
          <w:rFonts w:hint="eastAsia" w:ascii="仿宋_GB2312" w:hAnsi="仿宋" w:eastAsia="仿宋_GB2312" w:cs="Times New Roman"/>
          <w:color w:val="000000"/>
          <w:sz w:val="22"/>
          <w:szCs w:val="22"/>
        </w:rPr>
        <w:t>符合</w:t>
      </w:r>
      <w:r>
        <w:rPr>
          <w:rFonts w:hint="eastAsia" w:ascii="仿宋_GB2312" w:hAnsi="仿宋" w:eastAsia="仿宋_GB2312" w:cs="Times New Roman"/>
          <w:color w:val="000000"/>
          <w:sz w:val="22"/>
          <w:szCs w:val="22"/>
          <w:lang w:val="en-US" w:eastAsia="zh-CN"/>
        </w:rPr>
        <w:t>标准</w:t>
      </w:r>
      <w:r>
        <w:rPr>
          <w:rFonts w:hint="eastAsia" w:ascii="仿宋_GB2312" w:hAnsi="仿宋" w:eastAsia="仿宋_GB2312" w:cs="Times New Roman"/>
          <w:color w:val="000000"/>
          <w:sz w:val="22"/>
          <w:szCs w:val="22"/>
        </w:rPr>
        <w:t>要求</w:t>
      </w:r>
      <w:r>
        <w:rPr>
          <w:rFonts w:hint="eastAsia" w:ascii="仿宋_GB2312" w:hAnsi="仿宋" w:eastAsia="仿宋_GB2312"/>
          <w:color w:val="000000"/>
          <w:sz w:val="22"/>
          <w:szCs w:val="22"/>
        </w:rPr>
        <w:t>，未获星级</w:t>
      </w:r>
      <w:r>
        <w:rPr>
          <w:rFonts w:hint="eastAsia" w:ascii="仿宋_GB2312" w:hAnsi="仿宋" w:eastAsia="仿宋_GB2312"/>
          <w:color w:val="000000"/>
          <w:sz w:val="22"/>
          <w:szCs w:val="22"/>
          <w:lang w:eastAsia="zh-CN"/>
        </w:rPr>
        <w:t>；</w:t>
      </w:r>
      <w:r>
        <w:rPr>
          <w:rFonts w:hint="eastAsia" w:ascii="仿宋_GB2312" w:hAnsi="仿宋" w:eastAsia="仿宋_GB2312"/>
          <w:color w:val="000000"/>
          <w:sz w:val="22"/>
          <w:szCs w:val="22"/>
          <w:lang w:val="en-US" w:eastAsia="zh-CN"/>
        </w:rPr>
        <w:t>强制性标准三项测试全部符合标准要求，判定符合标准要求，共有23款产品符合标准要求</w:t>
      </w:r>
      <w:r>
        <w:rPr>
          <w:rFonts w:hint="eastAsia" w:ascii="仿宋_GB2312" w:hAnsi="仿宋" w:eastAsia="仿宋_GB2312"/>
          <w:color w:val="000000"/>
          <w:sz w:val="22"/>
          <w:szCs w:val="22"/>
          <w:lang w:eastAsia="zh-CN"/>
        </w:rPr>
        <w:t>，</w:t>
      </w:r>
      <w:r>
        <w:rPr>
          <w:rFonts w:hint="eastAsia" w:ascii="仿宋_GB2312" w:hAnsi="仿宋" w:eastAsia="仿宋_GB2312"/>
          <w:color w:val="000000"/>
          <w:sz w:val="22"/>
          <w:szCs w:val="22"/>
        </w:rPr>
        <w:t>获得“★★★”</w:t>
      </w:r>
      <w:r>
        <w:rPr>
          <w:rFonts w:hint="eastAsia" w:ascii="仿宋_GB2312" w:hAnsi="仿宋" w:eastAsia="仿宋_GB2312"/>
          <w:color w:val="000000"/>
          <w:sz w:val="22"/>
          <w:szCs w:val="22"/>
          <w:lang w:eastAsia="zh-CN"/>
        </w:rPr>
        <w:t>。</w:t>
      </w:r>
    </w:p>
    <w:p>
      <w:pPr>
        <w:numPr>
          <w:ilvl w:val="0"/>
          <w:numId w:val="0"/>
        </w:numPr>
        <w:snapToGrid w:val="0"/>
        <w:spacing w:line="440" w:lineRule="exact"/>
        <w:rPr>
          <w:rFonts w:hint="default" w:ascii="仿宋_GB2312" w:hAnsi="仿宋" w:eastAsia="仿宋_GB2312"/>
          <w:color w:val="000000"/>
          <w:sz w:val="22"/>
          <w:szCs w:val="22"/>
          <w:lang w:val="en-US" w:eastAsia="zh-CN"/>
        </w:rPr>
      </w:pPr>
      <w:r>
        <w:rPr>
          <w:rFonts w:hint="eastAsia" w:ascii="仿宋_GB2312" w:hAnsi="仿宋" w:eastAsia="仿宋_GB2312"/>
          <w:color w:val="000000"/>
          <w:sz w:val="22"/>
          <w:szCs w:val="22"/>
          <w:lang w:val="en-US" w:eastAsia="zh-CN"/>
        </w:rPr>
        <w:t>4.</w:t>
      </w:r>
      <w:r>
        <w:rPr>
          <w:rFonts w:hint="eastAsia" w:ascii="仿宋_GB2312" w:hAnsi="仿宋" w:eastAsia="仿宋_GB2312"/>
          <w:color w:val="000000"/>
          <w:sz w:val="22"/>
          <w:szCs w:val="22"/>
        </w:rPr>
        <w:t>对于推荐性标准要求，根据要求“若被检产品明示的质量要求低于或包含本细则中检验项目依据的推荐性标准要求时，应以被检产品明示的质量要求判定”</w:t>
      </w:r>
      <w:r>
        <w:rPr>
          <w:rFonts w:hint="eastAsia" w:ascii="仿宋_GB2312" w:hAnsi="仿宋" w:eastAsia="仿宋_GB2312" w:cs="Times New Roman"/>
          <w:color w:val="000000"/>
          <w:sz w:val="22"/>
          <w:szCs w:val="22"/>
        </w:rPr>
        <w:t>，</w:t>
      </w:r>
      <w:r>
        <w:rPr>
          <w:rFonts w:hint="eastAsia" w:ascii="仿宋_GB2312" w:hAnsi="仿宋" w:eastAsia="仿宋_GB2312" w:cs="Times New Roman"/>
          <w:color w:val="000000"/>
          <w:sz w:val="22"/>
          <w:szCs w:val="22"/>
          <w:lang w:val="en-US" w:eastAsia="zh-CN"/>
        </w:rPr>
        <w:t>对“标志”测试项目进行判定，</w:t>
      </w:r>
      <w:r>
        <w:rPr>
          <w:rFonts w:hint="eastAsia" w:ascii="仿宋_GB2312" w:hAnsi="仿宋" w:eastAsia="仿宋_GB2312" w:cs="Times New Roman"/>
          <w:color w:val="000000"/>
          <w:sz w:val="22"/>
          <w:szCs w:val="22"/>
        </w:rPr>
        <w:t>其中20款</w:t>
      </w:r>
      <w:r>
        <w:rPr>
          <w:rFonts w:hint="eastAsia" w:ascii="仿宋_GB2312" w:hAnsi="仿宋" w:eastAsia="仿宋_GB2312" w:cs="Times New Roman"/>
          <w:color w:val="000000"/>
          <w:sz w:val="22"/>
          <w:szCs w:val="22"/>
          <w:lang w:val="en-US" w:eastAsia="zh-CN"/>
        </w:rPr>
        <w:t>产品符合标准要求</w:t>
      </w:r>
      <w:r>
        <w:rPr>
          <w:rFonts w:hint="eastAsia" w:ascii="仿宋_GB2312" w:hAnsi="仿宋" w:eastAsia="仿宋_GB2312" w:cs="Times New Roman"/>
          <w:color w:val="000000"/>
          <w:sz w:val="22"/>
          <w:szCs w:val="22"/>
        </w:rPr>
        <w:t>，</w:t>
      </w:r>
      <w:r>
        <w:rPr>
          <w:rFonts w:hint="eastAsia" w:ascii="仿宋_GB2312" w:hAnsi="仿宋" w:eastAsia="仿宋_GB2312"/>
          <w:color w:val="000000"/>
          <w:sz w:val="22"/>
          <w:szCs w:val="22"/>
        </w:rPr>
        <w:t>获得“★”，15</w:t>
      </w:r>
      <w:r>
        <w:rPr>
          <w:rFonts w:hint="eastAsia" w:ascii="仿宋_GB2312" w:hAnsi="仿宋" w:eastAsia="仿宋_GB2312" w:cs="Times New Roman"/>
          <w:color w:val="000000"/>
          <w:sz w:val="22"/>
          <w:szCs w:val="22"/>
        </w:rPr>
        <w:t>款</w:t>
      </w:r>
      <w:r>
        <w:rPr>
          <w:rFonts w:hint="eastAsia" w:ascii="仿宋_GB2312" w:hAnsi="仿宋" w:eastAsia="仿宋_GB2312" w:cs="Times New Roman"/>
          <w:color w:val="000000"/>
          <w:sz w:val="22"/>
          <w:szCs w:val="22"/>
          <w:lang w:val="en-US" w:eastAsia="zh-CN"/>
        </w:rPr>
        <w:t>产品</w:t>
      </w:r>
      <w:r>
        <w:rPr>
          <w:rFonts w:hint="eastAsia" w:ascii="仿宋_GB2312" w:hAnsi="仿宋" w:eastAsia="仿宋_GB2312" w:cs="Times New Roman"/>
          <w:color w:val="000000"/>
          <w:sz w:val="22"/>
          <w:szCs w:val="22"/>
        </w:rPr>
        <w:t>不符合标准</w:t>
      </w:r>
      <w:r>
        <w:rPr>
          <w:rFonts w:hint="eastAsia" w:ascii="仿宋_GB2312" w:hAnsi="仿宋" w:eastAsia="仿宋_GB2312"/>
          <w:color w:val="000000"/>
          <w:sz w:val="22"/>
          <w:szCs w:val="22"/>
        </w:rPr>
        <w:t>要求，不做判定，未</w:t>
      </w:r>
      <w:r>
        <w:rPr>
          <w:rFonts w:hint="eastAsia" w:ascii="仿宋_GB2312" w:hAnsi="仿宋" w:eastAsia="仿宋_GB2312" w:cs="Times New Roman"/>
          <w:color w:val="000000"/>
          <w:sz w:val="22"/>
          <w:szCs w:val="22"/>
        </w:rPr>
        <w:t>获星级</w:t>
      </w:r>
      <w:r>
        <w:rPr>
          <w:rFonts w:hint="eastAsia" w:ascii="仿宋_GB2312" w:hAnsi="仿宋" w:eastAsia="仿宋_GB2312" w:cs="Times New Roman"/>
          <w:color w:val="000000"/>
          <w:sz w:val="22"/>
          <w:szCs w:val="22"/>
          <w:lang w:eastAsia="zh-CN"/>
        </w:rPr>
        <w:t>；</w:t>
      </w:r>
      <w:r>
        <w:rPr>
          <w:rFonts w:hint="eastAsia" w:ascii="仿宋_GB2312" w:hAnsi="仿宋" w:eastAsia="仿宋_GB2312" w:cs="Times New Roman"/>
          <w:color w:val="000000"/>
          <w:sz w:val="22"/>
          <w:szCs w:val="22"/>
          <w:lang w:val="en-US" w:eastAsia="zh-CN"/>
        </w:rPr>
        <w:t>其他安全指标，根据表8</w:t>
      </w:r>
      <w:r>
        <w:rPr>
          <w:rFonts w:hint="eastAsia" w:ascii="仿宋_GB2312" w:hAnsi="仿宋" w:eastAsia="仿宋_GB2312" w:cs="Times New Roman"/>
          <w:color w:val="000000"/>
          <w:sz w:val="22"/>
          <w:szCs w:val="22"/>
        </w:rPr>
        <w:t>安全综合</w:t>
      </w:r>
      <w:r>
        <w:rPr>
          <w:rFonts w:hint="eastAsia" w:ascii="仿宋_GB2312" w:hAnsi="仿宋" w:eastAsia="仿宋_GB2312" w:cs="Times New Roman"/>
          <w:color w:val="000000"/>
          <w:sz w:val="22"/>
          <w:szCs w:val="22"/>
          <w:lang w:val="en-US" w:eastAsia="zh-CN"/>
        </w:rPr>
        <w:t>等级进行判定。</w:t>
      </w:r>
    </w:p>
    <w:p>
      <w:pPr>
        <w:snapToGrid w:val="0"/>
        <w:spacing w:line="440" w:lineRule="exact"/>
        <w:rPr>
          <w:rFonts w:ascii="仿宋_GB2312" w:hAnsi="仿宋" w:eastAsia="仿宋_GB2312"/>
          <w:color w:val="000000"/>
          <w:sz w:val="22"/>
          <w:szCs w:val="22"/>
        </w:rPr>
      </w:pPr>
      <w:r>
        <w:rPr>
          <w:rFonts w:hint="eastAsia" w:ascii="仿宋_GB2312" w:hAnsi="仿宋" w:eastAsia="仿宋_GB2312"/>
          <w:color w:val="000000"/>
          <w:sz w:val="22"/>
          <w:szCs w:val="22"/>
          <w:lang w:val="en-US" w:eastAsia="zh-CN"/>
        </w:rPr>
        <w:t>5</w:t>
      </w:r>
      <w:r>
        <w:rPr>
          <w:rFonts w:hint="eastAsia" w:ascii="仿宋_GB2312" w:hAnsi="仿宋" w:eastAsia="仿宋_GB2312"/>
          <w:color w:val="000000"/>
          <w:sz w:val="22"/>
          <w:szCs w:val="22"/>
        </w:rPr>
        <w:t>.其他指标包含读写作业台灯的“CCC”认证和产品是否有商标品牌信息。读写作业台灯属于“CCC”强制性认证产品，产品没有强制性认证的，给予“</w:t>
      </w:r>
      <w:r>
        <w:rPr>
          <w:rFonts w:hint="eastAsia" w:ascii="仿宋_GB2312" w:hAnsi="仿宋" w:eastAsia="仿宋_GB2312" w:cs="Times New Roman"/>
          <w:color w:val="000000"/>
          <w:sz w:val="22"/>
          <w:szCs w:val="22"/>
        </w:rPr>
        <w:t>不予评级”等级</w:t>
      </w:r>
      <w:r>
        <w:rPr>
          <w:rFonts w:hint="eastAsia" w:ascii="仿宋_GB2312" w:hAnsi="仿宋" w:eastAsia="仿宋_GB2312"/>
          <w:color w:val="000000"/>
          <w:sz w:val="22"/>
          <w:szCs w:val="22"/>
        </w:rPr>
        <w:t>；商标/品牌是产品的象征，对于没有商标品牌的产品，扣除一颗“★”。</w:t>
      </w:r>
    </w:p>
    <w:p>
      <w:pPr>
        <w:snapToGrid w:val="0"/>
        <w:spacing w:line="440" w:lineRule="exact"/>
        <w:rPr>
          <w:rFonts w:hint="eastAsia" w:ascii="仿宋_GB2312" w:hAnsi="仿宋" w:eastAsia="仿宋_GB2312"/>
          <w:color w:val="000000"/>
          <w:sz w:val="22"/>
          <w:szCs w:val="22"/>
        </w:rPr>
      </w:pPr>
      <w:r>
        <w:rPr>
          <w:rFonts w:hint="eastAsia" w:ascii="仿宋_GB2312" w:hAnsi="仿宋" w:eastAsia="仿宋_GB2312"/>
          <w:color w:val="000000"/>
          <w:sz w:val="22"/>
          <w:szCs w:val="22"/>
          <w:lang w:val="en-US" w:eastAsia="zh-CN"/>
        </w:rPr>
        <w:t>6</w:t>
      </w:r>
      <w:r>
        <w:rPr>
          <w:rFonts w:hint="eastAsia" w:ascii="仿宋_GB2312" w:hAnsi="仿宋" w:eastAsia="仿宋_GB2312"/>
          <w:color w:val="000000"/>
          <w:sz w:val="22"/>
          <w:szCs w:val="22"/>
        </w:rPr>
        <w:t>.本次比较试验所有样品均由工作人员以普通消费者身份通过正规销售渠道购买。本次比较试验评价结果仅对所购买的样品负责，不代表同品牌不同批次、不同规格产品的质量状况,不构成对相关产品的推荐与宣传。未经内蒙古自治区消协书面允许，任何单位和个人不得擅自使用本次比较试验结果作为商业宣传。</w:t>
      </w:r>
    </w:p>
    <w:p>
      <w:pPr>
        <w:rPr>
          <w:rFonts w:hint="eastAsia" w:ascii="仿宋_GB2312" w:hAnsi="仿宋" w:eastAsia="仿宋_GB2312"/>
          <w:color w:val="00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24602"/>
    <w:rsid w:val="4D62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autoSpaceDE w:val="0"/>
      <w:autoSpaceDN w:val="0"/>
      <w:jc w:val="left"/>
    </w:pPr>
    <w:rPr>
      <w:rFonts w:ascii="微软雅黑" w:hAnsi="微软雅黑" w:eastAsia="微软雅黑" w:cs="微软雅黑"/>
      <w:kern w:val="0"/>
      <w:sz w:val="44"/>
      <w:szCs w:val="4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2023-02-14T09:29:00Z</dcterms:created>
  <dc:creator>咿呀嘿</dc:creator>
  <cp:lastModifiedBy>咿呀嘿</cp:lastModifiedBy>
  <dcterms:modified xsi:type="dcterms:W3CDTF">2023-02-14T09:30:46Z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